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rtl w:val="0"/>
        </w:rPr>
      </w:r>
    </w:p>
    <w:p w:rsidR="00000000" w:rsidDel="00000000" w:rsidP="00000000" w:rsidRDefault="00000000" w:rsidRPr="00000000" w14:paraId="00000002">
      <w:pPr>
        <w:spacing w:line="360" w:lineRule="auto"/>
        <w:jc w:val="center"/>
        <w:rPr>
          <w:sz w:val="24"/>
          <w:szCs w:val="24"/>
        </w:rPr>
      </w:pPr>
      <w:r w:rsidDel="00000000" w:rsidR="00000000" w:rsidRPr="00000000">
        <w:rPr>
          <w:b w:val="1"/>
          <w:sz w:val="24"/>
          <w:szCs w:val="24"/>
          <w:rtl w:val="0"/>
        </w:rPr>
        <w:t xml:space="preserve">NA LEI OU NA MARRA: </w:t>
      </w:r>
      <w:r w:rsidDel="00000000" w:rsidR="00000000" w:rsidRPr="00000000">
        <w:rPr>
          <w:sz w:val="24"/>
          <w:szCs w:val="24"/>
          <w:rtl w:val="0"/>
        </w:rPr>
        <w:t xml:space="preserve">uma reflexão sobre as lutas camponesas no Brasil (1954-1984)</w:t>
      </w:r>
    </w:p>
    <w:p w:rsidR="00000000" w:rsidDel="00000000" w:rsidP="00000000" w:rsidRDefault="00000000" w:rsidRPr="00000000" w14:paraId="00000003">
      <w:pPr>
        <w:spacing w:line="360" w:lineRule="auto"/>
        <w:jc w:val="center"/>
        <w:rPr>
          <w:sz w:val="24"/>
          <w:szCs w:val="24"/>
        </w:rPr>
      </w:pPr>
      <w:r w:rsidDel="00000000" w:rsidR="00000000" w:rsidRPr="00000000">
        <w:rPr>
          <w:rtl w:val="0"/>
        </w:rPr>
      </w:r>
    </w:p>
    <w:p w:rsidR="00000000" w:rsidDel="00000000" w:rsidP="00000000" w:rsidRDefault="00000000" w:rsidRPr="00000000" w14:paraId="00000004">
      <w:pPr>
        <w:spacing w:line="360" w:lineRule="auto"/>
        <w:ind w:left="7200" w:firstLine="720"/>
        <w:jc w:val="center"/>
        <w:rPr>
          <w:sz w:val="24"/>
          <w:szCs w:val="24"/>
        </w:rPr>
      </w:pPr>
      <w:r w:rsidDel="00000000" w:rsidR="00000000" w:rsidRPr="00000000">
        <w:rPr>
          <w:rtl w:val="0"/>
        </w:rPr>
      </w:r>
    </w:p>
    <w:p w:rsidR="00000000" w:rsidDel="00000000" w:rsidP="00000000" w:rsidRDefault="00000000" w:rsidRPr="00000000" w14:paraId="00000005">
      <w:pPr>
        <w:spacing w:line="360" w:lineRule="auto"/>
        <w:ind w:left="5040" w:firstLine="0"/>
        <w:jc w:val="left"/>
        <w:rPr>
          <w:b w:val="1"/>
          <w:sz w:val="24"/>
          <w:szCs w:val="24"/>
        </w:rPr>
      </w:pPr>
      <w:r w:rsidDel="00000000" w:rsidR="00000000" w:rsidRPr="00000000">
        <w:rPr>
          <w:b w:val="1"/>
          <w:sz w:val="24"/>
          <w:szCs w:val="24"/>
          <w:rtl w:val="0"/>
        </w:rPr>
        <w:t xml:space="preserve">           Millena de Azevedo da Silva</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6">
      <w:pPr>
        <w:spacing w:line="360" w:lineRule="auto"/>
        <w:ind w:left="0" w:firstLine="0"/>
        <w:rPr>
          <w:b w:val="1"/>
          <w:sz w:val="24"/>
          <w:szCs w:val="24"/>
        </w:rPr>
      </w:pPr>
      <w:r w:rsidDel="00000000" w:rsidR="00000000" w:rsidRPr="00000000">
        <w:rPr>
          <w:b w:val="1"/>
          <w:sz w:val="24"/>
          <w:szCs w:val="24"/>
          <w:rtl w:val="0"/>
        </w:rPr>
        <w:t xml:space="preserve"> </w:t>
        <w:tab/>
        <w:tab/>
        <w:tab/>
        <w:tab/>
        <w:t xml:space="preserve">       Alice Vitória do Nascimento Machado dos Santos²</w:t>
      </w:r>
    </w:p>
    <w:p w:rsidR="00000000" w:rsidDel="00000000" w:rsidP="00000000" w:rsidRDefault="00000000" w:rsidRPr="00000000" w14:paraId="00000007">
      <w:pPr>
        <w:spacing w:line="360" w:lineRule="auto"/>
        <w:ind w:left="5040" w:firstLine="720"/>
        <w:rPr>
          <w:b w:val="1"/>
          <w:sz w:val="24"/>
          <w:szCs w:val="24"/>
        </w:rPr>
      </w:pPr>
      <w:r w:rsidDel="00000000" w:rsidR="00000000" w:rsidRPr="00000000">
        <w:rPr>
          <w:b w:val="1"/>
          <w:sz w:val="24"/>
          <w:szCs w:val="24"/>
          <w:rtl w:val="0"/>
        </w:rPr>
        <w:t xml:space="preserve"> Rodrigo Ribeiro de Oliveira³</w:t>
      </w:r>
    </w:p>
    <w:p w:rsidR="00000000" w:rsidDel="00000000" w:rsidP="00000000" w:rsidRDefault="00000000" w:rsidRPr="00000000" w14:paraId="00000008">
      <w:pPr>
        <w:spacing w:line="360" w:lineRule="auto"/>
        <w:ind w:left="5040" w:firstLine="0"/>
        <w:jc w:val="left"/>
        <w:rPr>
          <w:b w:val="1"/>
          <w:sz w:val="24"/>
          <w:szCs w:val="24"/>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Resumo</w:t>
      </w:r>
    </w:p>
    <w:p w:rsidR="00000000" w:rsidDel="00000000" w:rsidP="00000000" w:rsidRDefault="00000000" w:rsidRPr="00000000" w14:paraId="0000000C">
      <w:pPr>
        <w:spacing w:line="240" w:lineRule="auto"/>
        <w:ind w:left="2880" w:firstLine="0"/>
        <w:jc w:val="both"/>
        <w:rPr>
          <w:sz w:val="16"/>
          <w:szCs w:val="16"/>
        </w:rPr>
      </w:pPr>
      <w:r w:rsidDel="00000000" w:rsidR="00000000" w:rsidRPr="00000000">
        <w:rPr>
          <w:sz w:val="20"/>
          <w:szCs w:val="20"/>
          <w:rtl w:val="0"/>
        </w:rPr>
        <w:t xml:space="preserve">O artigo propõe uma reflexão crítica sobre a experiência histórica das Ligas Camponesas. A partir de uma revisão bibliográfica e do filme </w:t>
      </w:r>
      <w:r w:rsidDel="00000000" w:rsidR="00000000" w:rsidRPr="00000000">
        <w:rPr>
          <w:i w:val="1"/>
          <w:sz w:val="20"/>
          <w:szCs w:val="20"/>
          <w:rtl w:val="0"/>
        </w:rPr>
        <w:t xml:space="preserve">Cabra Marcado Para Morrer</w:t>
      </w:r>
      <w:r w:rsidDel="00000000" w:rsidR="00000000" w:rsidRPr="00000000">
        <w:rPr>
          <w:sz w:val="20"/>
          <w:szCs w:val="20"/>
          <w:rtl w:val="0"/>
        </w:rPr>
        <w:t xml:space="preserve"> (1984), de Eduardo Coutinho, busca-se analisar a luta pela terra no Brasil no período pré e pós golpe de 1964, e seus desdobramentos sobre os movimentos sociais rurais. A análise é fundamentada no materialismo histórico-dialético, que permite a compreensão das contradições sociais nas relações entre Estado, classe e movimentos sociais, que dialogam com o Serviço Social.</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Questão Agrária</w:t>
      </w:r>
      <w:r w:rsidDel="00000000" w:rsidR="00000000" w:rsidRPr="00000000">
        <w:rPr>
          <w:sz w:val="20"/>
          <w:szCs w:val="20"/>
          <w:vertAlign w:val="baseline"/>
          <w:rtl w:val="0"/>
        </w:rPr>
        <w:t xml:space="preserve">; </w:t>
      </w:r>
      <w:r w:rsidDel="00000000" w:rsidR="00000000" w:rsidRPr="00000000">
        <w:rPr>
          <w:sz w:val="20"/>
          <w:szCs w:val="20"/>
          <w:rtl w:val="0"/>
        </w:rPr>
        <w:t xml:space="preserve">Ligas Camponesas; Serviço Social</w:t>
      </w:r>
      <w:r w:rsidDel="00000000" w:rsidR="00000000" w:rsidRPr="00000000">
        <w:rPr>
          <w:sz w:val="20"/>
          <w:szCs w:val="20"/>
          <w:vertAlign w:val="baseline"/>
          <w:rtl w:val="0"/>
        </w:rPr>
        <w:t xml:space="preserve">.</w:t>
      </w:r>
    </w:p>
    <w:p w:rsidR="00000000" w:rsidDel="00000000" w:rsidP="00000000" w:rsidRDefault="00000000" w:rsidRPr="00000000" w14:paraId="0000000F">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10">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11">
      <w:pPr>
        <w:spacing w:line="240" w:lineRule="auto"/>
        <w:ind w:left="2835" w:firstLine="0"/>
        <w:jc w:val="both"/>
        <w:rPr>
          <w:sz w:val="20"/>
          <w:szCs w:val="20"/>
          <w:vertAlign w:val="baseline"/>
        </w:rPr>
      </w:pPr>
      <w:r w:rsidDel="00000000" w:rsidR="00000000" w:rsidRPr="00000000">
        <w:rPr>
          <w:sz w:val="20"/>
          <w:szCs w:val="20"/>
          <w:rtl w:val="0"/>
        </w:rPr>
        <w:t xml:space="preserve">This article proposes a critical reflection of the historical experience of the Peasant’s Leagues. Based on a literature review and the film </w:t>
      </w:r>
      <w:r w:rsidDel="00000000" w:rsidR="00000000" w:rsidRPr="00000000">
        <w:rPr>
          <w:i w:val="1"/>
          <w:sz w:val="20"/>
          <w:szCs w:val="20"/>
          <w:rtl w:val="0"/>
        </w:rPr>
        <w:t xml:space="preserve">Twenty Years Later</w:t>
      </w:r>
      <w:r w:rsidDel="00000000" w:rsidR="00000000" w:rsidRPr="00000000">
        <w:rPr>
          <w:sz w:val="20"/>
          <w:szCs w:val="20"/>
          <w:rtl w:val="0"/>
        </w:rPr>
        <w:t xml:space="preserve"> (1984), by Eduardo Coutinho, it aims to analyze the land struggle in Brazil during the periods before and after the 1964 military coup, as well as its repercussions on rural social movements. The analysis is grounded in historical-dialectical materialism, which enables an understanding of the social contradictions in the relationships between the state, class, and social movements, elements that closely interact with the field of Social Work.</w:t>
      </w:r>
      <w:r w:rsidDel="00000000" w:rsidR="00000000" w:rsidRPr="00000000">
        <w:rPr>
          <w:rtl w:val="0"/>
        </w:rPr>
      </w:r>
    </w:p>
    <w:p w:rsidR="00000000" w:rsidDel="00000000" w:rsidP="00000000" w:rsidRDefault="00000000" w:rsidRPr="00000000" w14:paraId="00000012">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3">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Agrarian Question</w:t>
      </w:r>
      <w:r w:rsidDel="00000000" w:rsidR="00000000" w:rsidRPr="00000000">
        <w:rPr>
          <w:sz w:val="20"/>
          <w:szCs w:val="20"/>
          <w:vertAlign w:val="baseline"/>
          <w:rtl w:val="0"/>
        </w:rPr>
        <w:t xml:space="preserve">; </w:t>
      </w:r>
      <w:r w:rsidDel="00000000" w:rsidR="00000000" w:rsidRPr="00000000">
        <w:rPr>
          <w:sz w:val="20"/>
          <w:szCs w:val="20"/>
          <w:rtl w:val="0"/>
        </w:rPr>
        <w:t xml:space="preserve">Peasant’s Leagues</w:t>
      </w:r>
      <w:r w:rsidDel="00000000" w:rsidR="00000000" w:rsidRPr="00000000">
        <w:rPr>
          <w:sz w:val="20"/>
          <w:szCs w:val="20"/>
          <w:vertAlign w:val="baseline"/>
          <w:rtl w:val="0"/>
        </w:rPr>
        <w:t xml:space="preserve">; </w:t>
      </w:r>
      <w:r w:rsidDel="00000000" w:rsidR="00000000" w:rsidRPr="00000000">
        <w:rPr>
          <w:sz w:val="20"/>
          <w:szCs w:val="20"/>
          <w:rtl w:val="0"/>
        </w:rPr>
        <w:t xml:space="preserve">Social Work</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14">
      <w:pPr>
        <w:spacing w:line="240" w:lineRule="auto"/>
        <w:ind w:left="0" w:firstLine="0"/>
        <w:jc w:val="both"/>
        <w:rPr>
          <w:b w:val="0"/>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O objetivo deste trabalho é realizar uma reflexão crítica sobre as lutas camponesas e a repressão por elas sofridas, com especial atenção à experiência histórica das Ligas Camponesas, a partir autores como Prado Júnior (2011); Castro (2005); Furtado (2005); Facó (1976); Morais (2012); Vandeck (2012) e o filme </w:t>
      </w:r>
      <w:r w:rsidDel="00000000" w:rsidR="00000000" w:rsidRPr="00000000">
        <w:rPr>
          <w:i w:val="1"/>
          <w:sz w:val="24"/>
          <w:szCs w:val="24"/>
          <w:rtl w:val="0"/>
        </w:rPr>
        <w:t xml:space="preserve">Cabra Marcado Para Morrer </w:t>
      </w:r>
      <w:r w:rsidDel="00000000" w:rsidR="00000000" w:rsidRPr="00000000">
        <w:rPr>
          <w:sz w:val="24"/>
          <w:szCs w:val="24"/>
          <w:rtl w:val="0"/>
        </w:rPr>
        <w:t xml:space="preserve">(1984), de Eduardo Coutinho. Consideramos que os materiais oferecem uma base para contextualização histórica e política, permitindo compreender e analisar a dinâmica da luta pela terra no período pré-1964 e os reflexos do golpe de 1964 sobre os movimentos sociais rurais, evidenciando os processos de criminalização e repressão do movimento de trabalhadores rurais.</w:t>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A perspectiva teórico-metodológica aqui adotada é fundamentada no materialismo histórico-dialético, que permite a análise das contradições sociais presentes na relação entre Estado, classe e movimentos sociais. Esse referencial crítico é compatível com o projeto ético-político do Serviço Social brasileiro, que orienta uma prática profissional comprometida com a justiça social e com o enfrentamento das expressões da questão social. </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A organização desse artigo é constituída pela introdução com a problematização do tema, do objetivo e da perspectiva teórico-metodológica utilizada, a segunda seção aborda o histórico da luta pela terra no Brasil, a terceira seção traz uma análise sobre a luta camponesa e o conflito político em terras brasileiras com duas seções secundárias intituladas ‘’Francisco Julião, um agitador’’ e ‘’João Pedro Teixeira, o cabra marcado para morrer”, e por fim, a quarta e última seção relaciona a Questão Agrária com o Serviço Social.  </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A">
      <w:pPr>
        <w:spacing w:line="360" w:lineRule="auto"/>
        <w:jc w:val="both"/>
        <w:rPr>
          <w:b w:val="1"/>
          <w:sz w:val="24"/>
          <w:szCs w:val="24"/>
        </w:rPr>
      </w:pPr>
      <w:r w:rsidDel="00000000" w:rsidR="00000000" w:rsidRPr="00000000">
        <w:rPr>
          <w:b w:val="1"/>
          <w:sz w:val="24"/>
          <w:szCs w:val="24"/>
          <w:rtl w:val="0"/>
        </w:rPr>
        <w:t xml:space="preserve">2 BREVE HISTÓRICO SOBRE A LUTA PELA TERRA NO BRASIL</w:t>
      </w:r>
    </w:p>
    <w:p w:rsidR="00000000" w:rsidDel="00000000" w:rsidP="00000000" w:rsidRDefault="00000000" w:rsidRPr="00000000" w14:paraId="0000001B">
      <w:pPr>
        <w:spacing w:line="360" w:lineRule="auto"/>
        <w:jc w:val="both"/>
        <w:rPr>
          <w:sz w:val="24"/>
          <w:szCs w:val="24"/>
        </w:rPr>
      </w:pPr>
      <w:r w:rsidDel="00000000" w:rsidR="00000000" w:rsidRPr="00000000">
        <w:rPr>
          <w:rtl w:val="0"/>
        </w:rPr>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A luta pela posse da terra é parte fundante da história do território atualmente compreendido como Brasil (Prado Júnior, 2011). Desde à invasão européia, passando pelas “guerras justas” contra os povos indígenas “bravios”, pelas bandeiras e entradas, pelas reduções, aldeamentos e missões jesuíticas, pelo tráfico negreiro e a centenária escravidão, é difícil não reparar o papel da estrutura estatal e do ordenamento jurídico na produção da estrutura fundiária brasileira (Prado Júnior, 2011). O Estado e, sendo mais específico, os grupos políticos e econômicos que o controlam, decidiram quais eram os grupos que concentrariam os direitos sobre a terra, e quais eram os grupos que teriam seus direitos frequentemente usurpados (Prado Júnior, 2011). Para as elites econômicas, cada vez mais largas concessões de terra, sempre fundamentadas e justificadas pelo aparato legal, às custas das largas massas populares, frequentemente espoliadas e reprimidas (Prado Júnior, 2011).</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Embora essa realidade, parte crucial para entender a abismal desigualdade social deste país, não seja uma exclusividade do campo, é no cenário agrário onde ela apresenta suas matizes mais duras e desiguais (Castro, 2008). A história da formação e distribuição fundiária brasileira é uma história de conflito, e a região nordeste do nosso país, pólo inicial da colonização e da atividade econômica brasileira, tem sua história intimamente nele circunscrita (Prado Júnior, 2011). Centro da economia açucareira dos engenhos, conformada ao redor do modelo de </w:t>
      </w:r>
      <w:r w:rsidDel="00000000" w:rsidR="00000000" w:rsidRPr="00000000">
        <w:rPr>
          <w:i w:val="1"/>
          <w:sz w:val="24"/>
          <w:szCs w:val="24"/>
          <w:rtl w:val="0"/>
        </w:rPr>
        <w:t xml:space="preserve">plantations</w:t>
      </w:r>
      <w:r w:rsidDel="00000000" w:rsidR="00000000" w:rsidRPr="00000000">
        <w:rPr>
          <w:sz w:val="24"/>
          <w:szCs w:val="24"/>
          <w:rtl w:val="0"/>
        </w:rPr>
        <w:t xml:space="preserve"> escravistas nas costas atlânticas, e com a expansão da pecuária nos sertões, o nordeste é o exemplo quase estereotípico das tensões de classe, raça, de acesso a recursos naturais e ambientais que permeiam essa expansão e colonização agrária brasileira (Prado Júnior, 2011). </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Com as grandes secas atingindo o agreste de vários estados no final do período imperial (1877-1879), tensionando a já desigual distribuição de recursos hídricos e espalhando morticínio sem precedentes, iniciam-se às grandes migrações forçadas em direção às capitais da costa, ou as supostas oportunidades de vida melhor na amazônia ou sudeste brasileiro (Castro, 2008). Com o advento da abolição da escravidão negra enquanto instuição legalizada e a queda da demanda nacional e internacional e dos preços do açúcar, os engenhos e usinas da costa aceleram seu gradual declínio (Furtado, 2007). Essas mudanças não significam a falência completa da economia nordestina, mas apontam necessidade de reorganização (Furtado, 2007). </w:t>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A nova estruturação da economia nordestina segue, contudo, os passos da primeira. Camponeses famintos e empobrecidos se tornam mão de obra barata, enquanto o capital nacional e internacional aumenta sua penetração no campo (Furtado, 2007). O meio agrário “explode” em violência, de matadores de aluguel e jagunços, do banditismo social dos cangaceiros, de movimentos messiânicos e religiosos, da repressão organizada da volante, num cenário onde a posse da terra e das riquezas produzidas nelas é sustentada na ponta da faca e do fuzil (Facó, 1976). </w:t>
      </w:r>
    </w:p>
    <w:p w:rsidR="00000000" w:rsidDel="00000000" w:rsidP="00000000" w:rsidRDefault="00000000" w:rsidRPr="00000000" w14:paraId="00000020">
      <w:pPr>
        <w:spacing w:line="360" w:lineRule="auto"/>
        <w:ind w:left="0" w:firstLine="720"/>
        <w:jc w:val="both"/>
        <w:rPr>
          <w:sz w:val="24"/>
          <w:szCs w:val="24"/>
        </w:rPr>
      </w:pPr>
      <w:r w:rsidDel="00000000" w:rsidR="00000000" w:rsidRPr="00000000">
        <w:rPr>
          <w:sz w:val="24"/>
          <w:szCs w:val="24"/>
          <w:rtl w:val="0"/>
        </w:rPr>
        <w:t xml:space="preserve">Pode-se dizer que o desenvolvimento econômico da região não acontece apesar do caos supracitado, da violência, das migrações e da pobreza extrema, mas ocorre baseado nele (Castro, 2008). É importante citar, contudo, que em todo o processo estruturado de violência e exploração do campesinato, este não foi um mero espectador da história, sendo um sujeito histórico relevante (Facó, 1976). As formas de resistência e organização das massas agrárias se transformaram ao longo dos séculos, passando de revoltas de escravizados e quilombolas, dos gigantescos levantes de caboclos e indígenas, para  os movimentos messiânicos e revoltas do início da república (Facó, 1976). As ligas camponesas, além de herdeiras diretas desses processos históricos, bebem também da experiência prévia dos processos de formação e de crescimento dos sindicatos rurais no interior de São Paulo, com forte atuação do PCB, (Welch, 2010). Os acúmulos organizativos e políticos das lutas que os precederam são o que possibilitam as ligas camponesas a tomar a forma que viemos a conhecer.</w:t>
      </w:r>
    </w:p>
    <w:p w:rsidR="00000000" w:rsidDel="00000000" w:rsidP="00000000" w:rsidRDefault="00000000" w:rsidRPr="00000000" w14:paraId="00000021">
      <w:pPr>
        <w:spacing w:line="360" w:lineRule="auto"/>
        <w:jc w:val="both"/>
        <w:rPr>
          <w:sz w:val="24"/>
          <w:szCs w:val="24"/>
        </w:rPr>
      </w:pPr>
      <w:r w:rsidDel="00000000" w:rsidR="00000000" w:rsidRPr="00000000">
        <w:rPr>
          <w:rtl w:val="0"/>
        </w:rPr>
      </w:r>
    </w:p>
    <w:p w:rsidR="00000000" w:rsidDel="00000000" w:rsidP="00000000" w:rsidRDefault="00000000" w:rsidRPr="00000000" w14:paraId="00000022">
      <w:pPr>
        <w:spacing w:line="360" w:lineRule="auto"/>
        <w:jc w:val="both"/>
        <w:rPr>
          <w:b w:val="1"/>
          <w:strike w:val="1"/>
          <w:sz w:val="24"/>
          <w:szCs w:val="24"/>
        </w:rPr>
      </w:pPr>
      <w:r w:rsidDel="00000000" w:rsidR="00000000" w:rsidRPr="00000000">
        <w:rPr>
          <w:b w:val="1"/>
          <w:sz w:val="24"/>
          <w:szCs w:val="24"/>
          <w:rtl w:val="0"/>
        </w:rPr>
        <w:t xml:space="preserve">3 LIGAS CAMPONESAS E O CONFLITO POLÍTICO NO BRASIL </w:t>
      </w:r>
      <w:r w:rsidDel="00000000" w:rsidR="00000000" w:rsidRPr="00000000">
        <w:rPr>
          <w:rtl w:val="0"/>
        </w:rPr>
      </w:r>
    </w:p>
    <w:p w:rsidR="00000000" w:rsidDel="00000000" w:rsidP="00000000" w:rsidRDefault="00000000" w:rsidRPr="00000000" w14:paraId="00000023">
      <w:pPr>
        <w:spacing w:line="360" w:lineRule="auto"/>
        <w:jc w:val="both"/>
        <w:rPr>
          <w:b w:val="1"/>
          <w:strike w:val="1"/>
          <w:sz w:val="24"/>
          <w:szCs w:val="24"/>
        </w:rPr>
      </w:pPr>
      <w:r w:rsidDel="00000000" w:rsidR="00000000" w:rsidRPr="00000000">
        <w:rPr>
          <w:rtl w:val="0"/>
        </w:rPr>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As Ligas Camponesas foram um salto qualitativo na organização e mobilização do campesinato brasileiro. Sua capacidade de mobilização popular é um marco na luta pela reforma agrária brasileira, como demonstra a palavra de ordem: “reforma agrária na lei ou na marra”. As Ligas foram formadas por trabalhadores rurais, tendo sua origem fortemente vinculada ao Partido Comunista Brasileiro, e tiveram atuação organizacional destacada no período entre 1954 à 1964. Embora tenham ganhado força nesse período, suas raízes remontam aos processos de mobilização camponesa iniciados ainda na década de 1940. Morais (2012) indica que o movimento se reorganiza em 1954, no Engenho Galiléia, em Pernambuco, com a formação da Sociedade Agrícola e Pecuária de Plantadores de Pernambuco. A partir desse exemplo, outras sociedades similares se expandem para outros estados do nordeste brasileiro, como a Paraíba. </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Seu objetivo principal era lutar pela reforma agrária e por condições dignas de vida no campo, enfrentando diretamente a concentração fundiária e a exploração imposta pelos grandes proprietários de terra. Essa trama de efervescência política no campo abriu espaço para o surgimento das Ligas Camponesas, como um movimento mobilizado, politicamente articulado e combativo. Seu avanço, porém,  foi cortado abruptamente com o golpe militar de 1964, que promoveu uma cruel repressão dessas organizações, criminalizando suas lideranças e reprimindo a luta agrária por meio da força. </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É importante destacar o papel estratégico dos Estados Unidos na consolidação não só do regime ditatorial no Brasil, mas da própria repressão às ligas. Conforme Vandeck (2012), nunca houve tanto estadunidense no Brasil e em Pernambuco quanto no início dos anos de 1960. A intensificação de vistos diplomáticos e o fortalecimento do consulado norte-americano no Recife revelaram o forte poderio logístico e ideológico empregado por eles no sufocamento dos movimentos populares como as Ligas Camponesas. Nesse período da política externa estadunidense, marcado pelo temor da expansão do socialismo na América Latina, vultosos recursos foram gastos para evitar uma nova revolução no “terceiro mundo”, como vemos no trecho a seguir:</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left="2160" w:firstLine="0"/>
        <w:jc w:val="both"/>
        <w:rPr>
          <w:sz w:val="20"/>
          <w:szCs w:val="20"/>
        </w:rPr>
      </w:pPr>
      <w:r w:rsidDel="00000000" w:rsidR="00000000" w:rsidRPr="00000000">
        <w:rPr>
          <w:sz w:val="20"/>
          <w:szCs w:val="20"/>
          <w:rtl w:val="0"/>
        </w:rPr>
        <w:t xml:space="preserve">Nunca escapou aos analistas da ditadura brasileira que sua emergência inseriu-se num contexto que transcendia largamente as fronteiras do país, inscrevendo-se num mosaico internacional em que uma sucessão de golpes de Estado [...] era somente o  sintoma de um processo de fundo: movendo-se na moldura de uma substancial alteração na divisão internacional capitalista do trabalho, os centros imperialistas, sob o hegemonismo norte-americano, patrocinaram, especialmente no curso dos anos sessenta, uma contrarrevolução preventiva em escala planetária (com rebatimentos principais no chamado Terceiro Mundo, onde se desenvolviam, diversamente, amplos movimentos de libertação nacional e social) (Netto, 2011, p. 16).</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A">
      <w:pPr>
        <w:spacing w:line="360" w:lineRule="auto"/>
        <w:ind w:firstLine="720"/>
        <w:jc w:val="both"/>
        <w:rPr>
          <w:sz w:val="20"/>
          <w:szCs w:val="20"/>
        </w:rPr>
      </w:pPr>
      <w:r w:rsidDel="00000000" w:rsidR="00000000" w:rsidRPr="00000000">
        <w:rPr>
          <w:sz w:val="24"/>
          <w:szCs w:val="24"/>
          <w:rtl w:val="0"/>
        </w:rPr>
        <w:t xml:space="preserve">As revoluções lideradas por Mao Tse-tung na China (1949) e Fidel Castro em Cuba (1959) tiveram uma participação significativa de camponeses, o que coloca a questão camponesa como foco dos estadunidenses. A miséria no campo, somada à mobilização política dos camponeses liderada por figuras como Francisco Julião eram, aos olhos norte-americanos, o prenúncio de uma revolução.  </w:t>
      </w:r>
      <w:r w:rsidDel="00000000" w:rsidR="00000000" w:rsidRPr="00000000">
        <w:rPr>
          <w:rtl w:val="0"/>
        </w:rPr>
      </w:r>
    </w:p>
    <w:p w:rsidR="00000000" w:rsidDel="00000000" w:rsidP="00000000" w:rsidRDefault="00000000" w:rsidRPr="00000000" w14:paraId="0000002B">
      <w:pPr>
        <w:spacing w:line="360" w:lineRule="auto"/>
        <w:jc w:val="both"/>
        <w:rPr>
          <w:sz w:val="24"/>
          <w:szCs w:val="24"/>
        </w:rPr>
      </w:pPr>
      <w:r w:rsidDel="00000000" w:rsidR="00000000" w:rsidRPr="00000000">
        <w:rPr>
          <w:rtl w:val="0"/>
        </w:rPr>
      </w:r>
    </w:p>
    <w:p w:rsidR="00000000" w:rsidDel="00000000" w:rsidP="00000000" w:rsidRDefault="00000000" w:rsidRPr="00000000" w14:paraId="0000002C">
      <w:pPr>
        <w:spacing w:line="360" w:lineRule="auto"/>
        <w:jc w:val="both"/>
        <w:rPr>
          <w:b w:val="1"/>
          <w:sz w:val="24"/>
          <w:szCs w:val="24"/>
        </w:rPr>
      </w:pPr>
      <w:r w:rsidDel="00000000" w:rsidR="00000000" w:rsidRPr="00000000">
        <w:rPr>
          <w:b w:val="1"/>
          <w:sz w:val="24"/>
          <w:szCs w:val="24"/>
          <w:rtl w:val="0"/>
        </w:rPr>
        <w:t xml:space="preserve">3.1 Francisco Julião, um agitador</w:t>
      </w:r>
    </w:p>
    <w:p w:rsidR="00000000" w:rsidDel="00000000" w:rsidP="00000000" w:rsidRDefault="00000000" w:rsidRPr="00000000" w14:paraId="0000002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E">
      <w:pPr>
        <w:spacing w:line="360" w:lineRule="auto"/>
        <w:ind w:firstLine="720"/>
        <w:jc w:val="both"/>
        <w:rPr>
          <w:sz w:val="24"/>
          <w:szCs w:val="24"/>
          <w:highlight w:val="yellow"/>
        </w:rPr>
      </w:pPr>
      <w:r w:rsidDel="00000000" w:rsidR="00000000" w:rsidRPr="00000000">
        <w:rPr>
          <w:sz w:val="24"/>
          <w:szCs w:val="24"/>
          <w:rtl w:val="0"/>
        </w:rPr>
        <w:t xml:space="preserve">Francisco Julião foi uma figura central na articulação das Ligas Camponesas. Advogado, unia a orientação jurídica com a luta pela Reforma Agrária, e utilizava recursos como literatura de cordel e cantadores de feira para dialogar com os camponeses. Segundo Vandeck (2012), atuava com o Código Civil em uma mão e a Bíblia na outra, utilizando representações acessíveis aos trabalhadores rurais nordestinos para construir coletivamente uma organização campesina voltada à garantia de seus direitos. Julião, se destacou por levar a luta dos trabalhadores para o âmbito nacional, através da denúncia à exploração ocorrida no campo. Considerava que as transformações sociais no país não poderiam acontecer sem enfrentar o poder dos grandes proprietários de terra, e buscava ressignificar o cotidiano de um povo historicamente oprimido. No trecho a seguir, Vandeck (2012) prossegue:</w:t>
      </w:r>
      <w:r w:rsidDel="00000000" w:rsidR="00000000" w:rsidRPr="00000000">
        <w:rPr>
          <w:rtl w:val="0"/>
        </w:rPr>
      </w:r>
    </w:p>
    <w:p w:rsidR="00000000" w:rsidDel="00000000" w:rsidP="00000000" w:rsidRDefault="00000000" w:rsidRPr="00000000" w14:paraId="0000002F">
      <w:pPr>
        <w:spacing w:line="360" w:lineRule="auto"/>
        <w:ind w:left="2160" w:firstLine="0"/>
        <w:jc w:val="both"/>
        <w:rPr>
          <w:sz w:val="20"/>
          <w:szCs w:val="20"/>
        </w:rPr>
      </w:pPr>
      <w:r w:rsidDel="00000000" w:rsidR="00000000" w:rsidRPr="00000000">
        <w:rPr>
          <w:sz w:val="20"/>
          <w:szCs w:val="20"/>
          <w:rtl w:val="0"/>
        </w:rPr>
        <w:t xml:space="preserve">Julião empenhou-se na apropriação dos substantivos. Primeiro, a utilização do termo “camponês” – na época, coisa de subversivo; os não subversivos utilizavam “rurícola”. Depois, a delegacia de polícia era o local onde costumavam ser resolvidos os problemas de conflitos de terra. Julião decidiu batizar assim também, “delegacia”, os núcleos das Ligas. Dessa forma, os camponeses perdiam medo do nome e passavam a ter igualmente uma delegacia para defender os seus direitos (Vandeck, 2012, p. 175).</w:t>
      </w:r>
    </w:p>
    <w:p w:rsidR="00000000" w:rsidDel="00000000" w:rsidP="00000000" w:rsidRDefault="00000000" w:rsidRPr="00000000" w14:paraId="00000030">
      <w:pPr>
        <w:spacing w:line="360" w:lineRule="auto"/>
        <w:ind w:left="0" w:firstLine="0"/>
        <w:jc w:val="both"/>
        <w:rPr>
          <w:sz w:val="20"/>
          <w:szCs w:val="20"/>
        </w:rPr>
      </w:pPr>
      <w:r w:rsidDel="00000000" w:rsidR="00000000" w:rsidRPr="00000000">
        <w:rPr>
          <w:rtl w:val="0"/>
        </w:rPr>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Filho e neto de senhores de engenho, desde sua infância observou a angústia dos camponeses, e se fortaleceu para lutar junto à eles. Sua identificação com a Revolução Cubana, que se construiu no período em que visitou o país, e o lema “Reforma Agrária na lei ou na marra” serviram para intensificar os ataques ao movimento, mas também consolidaram Julião como símbolo de resistência camponesa e de esperança para a população, há séculos sedenta de justiça e dignidade (Vandeck, 2012). Julião organizou marchas, e em 1957 os camponeses participaram pela primeira vez de comemorações juntamente com trabalhadores urbanos. Entre 1958 e 1959, foram realizados cerca de 80 atos públicos no Recife, e essas manifestações deram rosto e voz aos que, até então, eram indigentes na sociedade brasileira.</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Vandeck (2012), em sua obra, ainda aborda a pouco conhecida “CPI das Ligas”, instaurada em 5 de julho de 1961. Sua comissão foi criada a partir de um caso de violência contra um camponês, ocorrido no município de Água Preta, Pernambuco. O camponês Agnelo Delmiro foi ferrado a fogo como gado no engenho, seu crime era participar das ligas e ter resistido à ordem de expulsão da terra que ocupava. Os integrantes da CPI visitaram o engenho Galileia, e tomaram depoimentos de várias figuras como proprietários de terra, líderes das Ligas Camponesas, militares, além de religiosos, deputados, desembargadores e Francisco Julião, um dos principais representantes do movimento camponês. A CPI foi encerrada no ano seguinte e suas conclusões foram divulgadas em 1962. Vandeck (2012, p. 169) relata uma passagem marcante da CPI, onde os relatórios dizem abertamente que “De tudo o que vimos e registramos, de tudo o que sabemos ocorrer em todos os setores do território nacional, uma verdade está evidenciada: o problema do campo no Brasil é simplesmente explosivo, gritante e ofensivo à dignidade humana.’’</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4">
      <w:pPr>
        <w:spacing w:line="360" w:lineRule="auto"/>
        <w:ind w:left="0" w:firstLine="0"/>
        <w:jc w:val="both"/>
        <w:rPr>
          <w:b w:val="1"/>
          <w:sz w:val="24"/>
          <w:szCs w:val="24"/>
        </w:rPr>
      </w:pPr>
      <w:r w:rsidDel="00000000" w:rsidR="00000000" w:rsidRPr="00000000">
        <w:rPr>
          <w:b w:val="1"/>
          <w:sz w:val="24"/>
          <w:szCs w:val="24"/>
          <w:rtl w:val="0"/>
        </w:rPr>
        <w:t xml:space="preserve">3.2 João Pedro Teixeira, o Cabra Marcado Para Morrer </w:t>
      </w:r>
    </w:p>
    <w:p w:rsidR="00000000" w:rsidDel="00000000" w:rsidP="00000000" w:rsidRDefault="00000000" w:rsidRPr="00000000" w14:paraId="00000035">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6">
      <w:pPr>
        <w:spacing w:line="360" w:lineRule="auto"/>
        <w:ind w:left="0" w:firstLine="720"/>
        <w:jc w:val="both"/>
        <w:rPr>
          <w:sz w:val="24"/>
          <w:szCs w:val="24"/>
        </w:rPr>
      </w:pPr>
      <w:r w:rsidDel="00000000" w:rsidR="00000000" w:rsidRPr="00000000">
        <w:rPr>
          <w:sz w:val="24"/>
          <w:szCs w:val="24"/>
          <w:rtl w:val="0"/>
        </w:rPr>
        <w:t xml:space="preserve">No início da década de 60, João Pedro Teixeira, líder camponês da Paraíba, foi assassinado por ordem dos latifundiários. Ativo nos movimentos políticos de Pernambuco desde a década de 50, João Pedro Teixeira foi um dos principais líderes da Liga Camponesa de Sapé, na Paraíba. A liga de Sapé tinha como objetivo inicial prestar assistência social aos arrendatários e pequenos proprietários rurais da região, e lutar por seus direitos (Memorial da Democracia, 2015). Através da ação e da experiência de suas principais lideranças e da revolta dos camponeses locais com as injustiças dos proprietários de terra, a liga de Sapé, em pouco tempo, se tornou uma das maiores, mais ativas e mobilizadas ligas do nordeste. Tal relevância tornou a liga e suas lideranças alvos dos latifundiários paraibanos, que a reprimiram violentamente. Apesar dos espancamentos, perseguições e ameaças sofridas, João e os ligantes seguiram na luta coletiva. Em 1962, porém, enquanto caminhava de volta para casa, João foi assassinado com cinco tiros nas costas, disparados por pistoleiros locais (Memorial da Democracia, 2015).</w:t>
      </w:r>
    </w:p>
    <w:p w:rsidR="00000000" w:rsidDel="00000000" w:rsidP="00000000" w:rsidRDefault="00000000" w:rsidRPr="00000000" w14:paraId="00000037">
      <w:pPr>
        <w:spacing w:line="360" w:lineRule="auto"/>
        <w:ind w:left="0" w:firstLine="720"/>
        <w:jc w:val="both"/>
        <w:rPr>
          <w:sz w:val="24"/>
          <w:szCs w:val="24"/>
        </w:rPr>
      </w:pPr>
      <w:r w:rsidDel="00000000" w:rsidR="00000000" w:rsidRPr="00000000">
        <w:rPr>
          <w:sz w:val="24"/>
          <w:szCs w:val="24"/>
          <w:rtl w:val="0"/>
        </w:rPr>
        <w:t xml:space="preserve">Os tiros tiveram, entretanto, o efeito contrário do pretendido, e inflamaram ainda mais o campesinato local, que se aglutinou ao redor da liga. A comoção foi tanta que chamou atenção do diretor Eduardo Coutinho, que, com a produção do Centro Popular de Cultura da União Nacional dos Estudantes e pelo Movimento de Cultura Popular de Pernambuco, desembarca na região para gravar o filme semi-documental “Cabra marcado para morrer”. A obra pretendia retratar a trajetória de vida de João Pedro Teixeira, seu trabalho na liga e sua morte. Contudo, após 35 dias de rodagem, o trabalho foi interrompido e censurado pela ditadura militar em 1964, com parte da equipe presa sob alegação de envolvimento com comunismo, com o filme sendo terminado e lançado apenas no ano de 1984. O filme é lançado com a mesma equipe técnica original, com o povo local, e com os depoimentos dos mesmos camponeses que estiveram presentes na primeira filmagem, inclusive com a viúva de João Pedro Teixeira e liderança camponesa local, Elizabeth Teixeira. </w:t>
      </w:r>
    </w:p>
    <w:p w:rsidR="00000000" w:rsidDel="00000000" w:rsidP="00000000" w:rsidRDefault="00000000" w:rsidRPr="00000000" w14:paraId="00000038">
      <w:pPr>
        <w:spacing w:line="360" w:lineRule="auto"/>
        <w:ind w:left="0" w:firstLine="720"/>
        <w:jc w:val="both"/>
        <w:rPr>
          <w:sz w:val="24"/>
          <w:szCs w:val="24"/>
        </w:rPr>
      </w:pPr>
      <w:r w:rsidDel="00000000" w:rsidR="00000000" w:rsidRPr="00000000">
        <w:rPr>
          <w:sz w:val="24"/>
          <w:szCs w:val="24"/>
          <w:rtl w:val="0"/>
        </w:rPr>
        <w:t xml:space="preserve">O filme de Eduardo Coutinho, “Cabra marcado pra morrer", se insere na tendência cinematográfica brasileira de seu tempo, o Cinema Novo, que é caracterizado por Glauber Rocha por visar influenciar o “processo dialético da história” (Rocha, 1981:25 </w:t>
      </w:r>
      <w:r w:rsidDel="00000000" w:rsidR="00000000" w:rsidRPr="00000000">
        <w:rPr>
          <w:i w:val="1"/>
          <w:sz w:val="24"/>
          <w:szCs w:val="24"/>
          <w:rtl w:val="0"/>
        </w:rPr>
        <w:t xml:space="preserve">apud</w:t>
      </w:r>
      <w:r w:rsidDel="00000000" w:rsidR="00000000" w:rsidRPr="00000000">
        <w:rPr>
          <w:sz w:val="24"/>
          <w:szCs w:val="24"/>
          <w:rtl w:val="0"/>
        </w:rPr>
        <w:t xml:space="preserve"> Altmann, 2004, p. 87). O filme n</w:t>
      </w:r>
      <w:r w:rsidDel="00000000" w:rsidR="00000000" w:rsidRPr="00000000">
        <w:rPr>
          <w:sz w:val="24"/>
          <w:szCs w:val="24"/>
          <w:rtl w:val="0"/>
        </w:rPr>
        <w:t xml:space="preserve">ão só representa uma nova forma, participativa e conscientizadora, de fazer cinema, como também documenta e ilustra, de forma sensível e engajada, a memória de um processo importante da luta do campesinato brasileiro a partir da história de um de seus notórios personagens.</w:t>
      </w:r>
    </w:p>
    <w:p w:rsidR="00000000" w:rsidDel="00000000" w:rsidP="00000000" w:rsidRDefault="00000000" w:rsidRPr="00000000" w14:paraId="00000039">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left="0" w:firstLine="0"/>
        <w:jc w:val="both"/>
        <w:rPr>
          <w:b w:val="1"/>
          <w:sz w:val="24"/>
          <w:szCs w:val="24"/>
        </w:rPr>
      </w:pPr>
      <w:r w:rsidDel="00000000" w:rsidR="00000000" w:rsidRPr="00000000">
        <w:rPr>
          <w:b w:val="1"/>
          <w:sz w:val="24"/>
          <w:szCs w:val="24"/>
          <w:rtl w:val="0"/>
        </w:rPr>
        <w:t xml:space="preserve">4 REFLEXÃO ENTRE O SERVIÇO SOCIAL E A QUESTÃO AGRÁRIA</w:t>
      </w:r>
    </w:p>
    <w:p w:rsidR="00000000" w:rsidDel="00000000" w:rsidP="00000000" w:rsidRDefault="00000000" w:rsidRPr="00000000" w14:paraId="0000003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C">
      <w:pPr>
        <w:spacing w:line="360" w:lineRule="auto"/>
        <w:ind w:firstLine="720"/>
        <w:jc w:val="both"/>
        <w:rPr>
          <w:sz w:val="24"/>
          <w:szCs w:val="24"/>
        </w:rPr>
      </w:pPr>
      <w:r w:rsidDel="00000000" w:rsidR="00000000" w:rsidRPr="00000000">
        <w:rPr>
          <w:sz w:val="24"/>
          <w:szCs w:val="24"/>
          <w:rtl w:val="0"/>
        </w:rPr>
        <w:t xml:space="preserve">O Serviço Social, profissão que se insere na divisão sociotécnica do trabalho (Iamamoto, 2014) atua nas expressões da chamada questão social, compreendida a partir da contradição inerente na relação entre entre burguesia e proletariado. A atuação do Serviço Social, enquanto profissão que também possui um caráter político-pedagógico na luta pela garantia dos direitos sociais, fundamenta-se em uma perspectiva crítica e abrangente das desigualdades sociais. Tal perspectiva aponta para a necessidade de um pensamento reflexivo por parte da categoria profissional, especialmente no que se refere à sua atuação junto à população rural. </w:t>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sz w:val="24"/>
          <w:szCs w:val="24"/>
          <w:rtl w:val="0"/>
        </w:rPr>
        <w:t xml:space="preserve">O Serviço Social só pode afirmar-se como prática institucionalizada e legitimada na sociedade ao responder a necessidades sociais derivadas da prática histórica das classes sociais na produção e reprodução dos meios de vida e de trabalho de forma socialmente determinada (IAMAMOTO, 2014, p. 20). Nesse sentido, cabe à profissão aproximar-se das lutas protagonizadas pelos movimentos sociais. A questão agrária, urgente e latente, evidencia a contradição entre interesses de classe, dos camponeses e dos latifundiários, relação que, no contexto da disputa pela posse e pelo direito à terra, incide diretamente na vida de trabalhadores e trabalhadoras que lutam por melhores condições de vida. </w:t>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Isto posto, a elaboração deste artigo tem origem na disciplina eletiva ‘‘Questão Agrária e Serviço Social’’, realizada na Universidade do Estado do Rio de Janeiro. A partir da perspectiva histórica e da análise do papel dos movimentos sociais na luta pela terra no Brasil, sobretudo com o desdobramento das Ligas Camponesas, o exemplo de aproximação da categoria profissional com o debate teórico dos movimentos sociais rurais é revelado. Dessa forma, refletir e socializar os conhecimentos aprendidos sobre a questão agrária, compreendendo como uma das expressões da questão social e, portanto, como objeto de trabalho do assistente social, se fez possível.</w:t>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Enquanto categoria profissional nos cabe a reflexão: “a resolução da questão agrária é a base para a solução dos demais problemas sociais, tais como, o desemprego, assistência à saúde, moradia, educação, etc., que aterrorizam a classe trabalhadora do campo e da cidade (Rippel, 2020, p.14).</w:t>
      </w:r>
    </w:p>
    <w:p w:rsidR="00000000" w:rsidDel="00000000" w:rsidP="00000000" w:rsidRDefault="00000000" w:rsidRPr="00000000" w14:paraId="00000040">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left="0" w:firstLine="0"/>
        <w:jc w:val="both"/>
        <w:rPr>
          <w:b w:val="1"/>
          <w:sz w:val="24"/>
          <w:szCs w:val="24"/>
        </w:rPr>
      </w:pPr>
      <w:r w:rsidDel="00000000" w:rsidR="00000000" w:rsidRPr="00000000">
        <w:rPr>
          <w:b w:val="1"/>
          <w:sz w:val="24"/>
          <w:szCs w:val="24"/>
          <w:rtl w:val="0"/>
        </w:rPr>
        <w:t xml:space="preserve"> 5 CONCLUSÃO</w:t>
      </w:r>
    </w:p>
    <w:p w:rsidR="00000000" w:rsidDel="00000000" w:rsidP="00000000" w:rsidRDefault="00000000" w:rsidRPr="00000000" w14:paraId="00000042">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43">
      <w:pPr>
        <w:spacing w:line="360" w:lineRule="auto"/>
        <w:ind w:left="0" w:firstLine="720"/>
        <w:jc w:val="both"/>
        <w:rPr>
          <w:sz w:val="24"/>
          <w:szCs w:val="24"/>
        </w:rPr>
      </w:pPr>
      <w:r w:rsidDel="00000000" w:rsidR="00000000" w:rsidRPr="00000000">
        <w:rPr>
          <w:sz w:val="24"/>
          <w:szCs w:val="24"/>
          <w:rtl w:val="0"/>
        </w:rPr>
        <w:t xml:space="preserve">As lições que podemos tirar dos processos de organização dos camponeses brasileiros, em especial dos nordestinos, são muitas. Uma das principais é o papel atribuído pelos movimentos consequentes e organizados de nossa história para a concentração de terras e recursos naturais. Esses movimentos constataram, alguns até mesmo antes da própria academia, como a desigualdade na distribuição fundiária e nas relações sociais no campo criavam crise humanitária a eles submetida. Outra, igualmente importante, é a do salto qualitativo percebido pela experiência das ligas camponesas, que representam uma virada de chave, justamente por conseguir algo que poucos movimentos camponeses do passado conseguiram: trabalhar de forma coesa e organizada a outros movimentos. Um dos principais obstáculos à organização popular no campo é justamente o de superar o isolamento e a fragmentação. </w:t>
      </w:r>
    </w:p>
    <w:p w:rsidR="00000000" w:rsidDel="00000000" w:rsidP="00000000" w:rsidRDefault="00000000" w:rsidRPr="00000000" w14:paraId="00000044">
      <w:pPr>
        <w:spacing w:line="360" w:lineRule="auto"/>
        <w:ind w:left="0" w:firstLine="720"/>
        <w:jc w:val="both"/>
        <w:rPr>
          <w:sz w:val="24"/>
          <w:szCs w:val="24"/>
        </w:rPr>
      </w:pPr>
      <w:r w:rsidDel="00000000" w:rsidR="00000000" w:rsidRPr="00000000">
        <w:rPr>
          <w:sz w:val="24"/>
          <w:szCs w:val="24"/>
          <w:rtl w:val="0"/>
        </w:rPr>
        <w:t xml:space="preserve">São justamente esses êxitos organizativos e de consciência política que chamam a atenção da potência imperialista norte-americana e dos agentes nacionais a ela submetidos. Desarticular e reprimir esse movimento, com os meios que fossem necessários, era imperativo para os agentes do capital nacional e internacional, pois compreendiam que as ligas camponesas reuniam as condições para ameaçar frontalmente seus interesses, lucros e o domínio político da região. Silenciar lideranças como Francisco Julião, João Pedro Teixeira e outras lideranças até mesmo mais radicais desses movimentos é, portanto, fundamental para não permitir uma escalada das tensões na região que, devido a correlação de forças, poderia espiralar para fora do controle das elites locais e dos estadunidenses.</w:t>
      </w:r>
    </w:p>
    <w:p w:rsidR="00000000" w:rsidDel="00000000" w:rsidP="00000000" w:rsidRDefault="00000000" w:rsidRPr="00000000" w14:paraId="00000045">
      <w:pPr>
        <w:spacing w:line="360" w:lineRule="auto"/>
        <w:ind w:left="0" w:firstLine="720"/>
        <w:jc w:val="both"/>
        <w:rPr>
          <w:sz w:val="24"/>
          <w:szCs w:val="24"/>
        </w:rPr>
      </w:pPr>
      <w:r w:rsidDel="00000000" w:rsidR="00000000" w:rsidRPr="00000000">
        <w:rPr>
          <w:sz w:val="24"/>
          <w:szCs w:val="24"/>
          <w:rtl w:val="0"/>
        </w:rPr>
        <w:t xml:space="preserve">Por fim, a aproximação do Serviço Social com a luta agrária é uma maneira de apropriação e reflexão desse debate diante das desigualdades que marcam a sociedade brasileira. As lutas travadas no campo, sobretudo as impulsionadas pelas Ligas Camponesas não foram em vão. A semente plantada por esse movimento germinou e deu origem ao Movimento dos Trabalhadores Rurais Sem Terra (MST) e outros movimentos sociais que continuam atuando na defesa do direito à terra e à dignidade. Esses movimentos seguem sendo cruciais na luta por uma reforma agrária digna em todo o país, e representam espaços fundamentais de articulação com a categoria profissional, que reconhece nessas ações coletivas a expressão concreta da questão social e um campo legítimo de atuação crítica e comprometida.  </w:t>
      </w:r>
      <w:r w:rsidDel="00000000" w:rsidR="00000000" w:rsidRPr="00000000">
        <w:rPr>
          <w:rtl w:val="0"/>
        </w:rPr>
      </w:r>
    </w:p>
    <w:p w:rsidR="00000000" w:rsidDel="00000000" w:rsidP="00000000" w:rsidRDefault="00000000" w:rsidRPr="00000000" w14:paraId="00000046">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7">
      <w:pPr>
        <w:spacing w:line="360" w:lineRule="auto"/>
        <w:jc w:val="center"/>
        <w:rPr>
          <w:b w:val="1"/>
          <w:sz w:val="24"/>
          <w:szCs w:val="24"/>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sz w:val="24"/>
          <w:szCs w:val="24"/>
          <w:rtl w:val="0"/>
        </w:rPr>
        <w:t xml:space="preserve">ALTMANN, Eliska. Memórias de um cabra marcado pelo cinema: representações de um Brasil rural. Campos: Revista de Antropologia, Curitiba, v. 5, n. 2, p. 87–105, dez. 2004. DOI: 10.5380/cam.v5i2.1622</w:t>
      </w:r>
      <w:r w:rsidDel="00000000" w:rsidR="00000000" w:rsidRPr="00000000">
        <w:rPr>
          <w:b w:val="1"/>
          <w:sz w:val="24"/>
          <w:szCs w:val="24"/>
          <w:rtl w:val="0"/>
        </w:rPr>
        <w:t xml:space="preserve"> </w:t>
      </w:r>
    </w:p>
    <w:p w:rsidR="00000000" w:rsidDel="00000000" w:rsidP="00000000" w:rsidRDefault="00000000" w:rsidRPr="00000000" w14:paraId="00000049">
      <w:pPr>
        <w:rPr>
          <w:sz w:val="24"/>
          <w:szCs w:val="24"/>
          <w:highlight w:val="white"/>
        </w:rPr>
      </w:pPr>
      <w:r w:rsidDel="00000000" w:rsidR="00000000" w:rsidRPr="00000000">
        <w:rPr>
          <w:rtl w:val="0"/>
        </w:rPr>
      </w:r>
    </w:p>
    <w:p w:rsidR="00000000" w:rsidDel="00000000" w:rsidP="00000000" w:rsidRDefault="00000000" w:rsidRPr="00000000" w14:paraId="0000004A">
      <w:pPr>
        <w:rPr>
          <w:sz w:val="24"/>
          <w:szCs w:val="24"/>
          <w:highlight w:val="white"/>
        </w:rPr>
      </w:pPr>
      <w:r w:rsidDel="00000000" w:rsidR="00000000" w:rsidRPr="00000000">
        <w:rPr>
          <w:sz w:val="24"/>
          <w:szCs w:val="24"/>
          <w:highlight w:val="white"/>
          <w:rtl w:val="0"/>
        </w:rPr>
        <w:t xml:space="preserve">CASTRO, Josué de. </w:t>
      </w:r>
      <w:r w:rsidDel="00000000" w:rsidR="00000000" w:rsidRPr="00000000">
        <w:rPr>
          <w:b w:val="1"/>
          <w:sz w:val="24"/>
          <w:szCs w:val="24"/>
          <w:highlight w:val="white"/>
          <w:rtl w:val="0"/>
        </w:rPr>
        <w:t xml:space="preserve">Geografia da Fome</w:t>
      </w:r>
      <w:r w:rsidDel="00000000" w:rsidR="00000000" w:rsidRPr="00000000">
        <w:rPr>
          <w:sz w:val="24"/>
          <w:szCs w:val="24"/>
          <w:highlight w:val="white"/>
          <w:rtl w:val="0"/>
        </w:rPr>
        <w:t xml:space="preserve">: O dilema brasileiro: pão ou aço. Rio de Janeiro: Civilização Brasileira, 2001.</w:t>
      </w:r>
    </w:p>
    <w:p w:rsidR="00000000" w:rsidDel="00000000" w:rsidP="00000000" w:rsidRDefault="00000000" w:rsidRPr="00000000" w14:paraId="0000004B">
      <w:pPr>
        <w:rPr>
          <w:sz w:val="24"/>
          <w:szCs w:val="24"/>
          <w:highlight w:val="white"/>
        </w:rPr>
      </w:pPr>
      <w:r w:rsidDel="00000000" w:rsidR="00000000" w:rsidRPr="00000000">
        <w:rPr>
          <w:rtl w:val="0"/>
        </w:rPr>
      </w:r>
    </w:p>
    <w:p w:rsidR="00000000" w:rsidDel="00000000" w:rsidP="00000000" w:rsidRDefault="00000000" w:rsidRPr="00000000" w14:paraId="0000004C">
      <w:pPr>
        <w:rPr>
          <w:sz w:val="24"/>
          <w:szCs w:val="24"/>
          <w:highlight w:val="white"/>
        </w:rPr>
      </w:pPr>
      <w:r w:rsidDel="00000000" w:rsidR="00000000" w:rsidRPr="00000000">
        <w:rPr>
          <w:sz w:val="24"/>
          <w:szCs w:val="24"/>
          <w:highlight w:val="white"/>
          <w:rtl w:val="0"/>
        </w:rPr>
        <w:t xml:space="preserve">FACÓ, Rui. </w:t>
      </w:r>
      <w:r w:rsidDel="00000000" w:rsidR="00000000" w:rsidRPr="00000000">
        <w:rPr>
          <w:b w:val="1"/>
          <w:sz w:val="24"/>
          <w:szCs w:val="24"/>
          <w:highlight w:val="white"/>
          <w:rtl w:val="0"/>
        </w:rPr>
        <w:t xml:space="preserve">Cangaceiros e Fanáticos</w:t>
      </w:r>
      <w:r w:rsidDel="00000000" w:rsidR="00000000" w:rsidRPr="00000000">
        <w:rPr>
          <w:sz w:val="24"/>
          <w:szCs w:val="24"/>
          <w:highlight w:val="white"/>
          <w:rtl w:val="0"/>
        </w:rPr>
        <w:t xml:space="preserve">: Gênese e Lutas. 4. ed. Rio de Janeiro: Civilização Brasileira, 1976.</w:t>
      </w:r>
    </w:p>
    <w:p w:rsidR="00000000" w:rsidDel="00000000" w:rsidP="00000000" w:rsidRDefault="00000000" w:rsidRPr="00000000" w14:paraId="0000004D">
      <w:pPr>
        <w:rPr>
          <w:sz w:val="24"/>
          <w:szCs w:val="24"/>
          <w:highlight w:val="white"/>
        </w:rPr>
      </w:pPr>
      <w:r w:rsidDel="00000000" w:rsidR="00000000" w:rsidRPr="00000000">
        <w:rPr>
          <w:rtl w:val="0"/>
        </w:rPr>
      </w:r>
    </w:p>
    <w:p w:rsidR="00000000" w:rsidDel="00000000" w:rsidP="00000000" w:rsidRDefault="00000000" w:rsidRPr="00000000" w14:paraId="0000004E">
      <w:pPr>
        <w:rPr>
          <w:sz w:val="24"/>
          <w:szCs w:val="24"/>
          <w:highlight w:val="white"/>
        </w:rPr>
      </w:pPr>
      <w:r w:rsidDel="00000000" w:rsidR="00000000" w:rsidRPr="00000000">
        <w:rPr>
          <w:sz w:val="24"/>
          <w:szCs w:val="24"/>
          <w:highlight w:val="white"/>
          <w:rtl w:val="0"/>
        </w:rPr>
        <w:t xml:space="preserve">FURTADO, Celso. </w:t>
      </w:r>
      <w:r w:rsidDel="00000000" w:rsidR="00000000" w:rsidRPr="00000000">
        <w:rPr>
          <w:b w:val="1"/>
          <w:sz w:val="24"/>
          <w:szCs w:val="24"/>
          <w:highlight w:val="white"/>
          <w:rtl w:val="0"/>
        </w:rPr>
        <w:t xml:space="preserve">Formação econômica do Brasil</w:t>
      </w:r>
      <w:r w:rsidDel="00000000" w:rsidR="00000000" w:rsidRPr="00000000">
        <w:rPr>
          <w:sz w:val="24"/>
          <w:szCs w:val="24"/>
          <w:highlight w:val="white"/>
          <w:rtl w:val="0"/>
        </w:rPr>
        <w:t xml:space="preserve">. 1. ed. São Paulo: Companhia das Letras, 2007.</w:t>
      </w:r>
    </w:p>
    <w:p w:rsidR="00000000" w:rsidDel="00000000" w:rsidP="00000000" w:rsidRDefault="00000000" w:rsidRPr="00000000" w14:paraId="0000004F">
      <w:pPr>
        <w:spacing w:after="240" w:before="240" w:lineRule="auto"/>
        <w:jc w:val="both"/>
        <w:rPr>
          <w:sz w:val="24"/>
          <w:szCs w:val="24"/>
        </w:rPr>
      </w:pPr>
      <w:r w:rsidDel="00000000" w:rsidR="00000000" w:rsidRPr="00000000">
        <w:rPr>
          <w:sz w:val="24"/>
          <w:szCs w:val="24"/>
          <w:rtl w:val="0"/>
        </w:rPr>
        <w:t xml:space="preserve">MEMORIAL DA DEMOCRACIA. </w:t>
      </w:r>
      <w:r w:rsidDel="00000000" w:rsidR="00000000" w:rsidRPr="00000000">
        <w:rPr>
          <w:i w:val="1"/>
          <w:sz w:val="24"/>
          <w:szCs w:val="24"/>
          <w:rtl w:val="0"/>
        </w:rPr>
        <w:t xml:space="preserve">Conflitos na Paraíba:</w:t>
      </w:r>
      <w:r w:rsidDel="00000000" w:rsidR="00000000" w:rsidRPr="00000000">
        <w:rPr>
          <w:sz w:val="24"/>
          <w:szCs w:val="24"/>
          <w:rtl w:val="0"/>
        </w:rPr>
        <w:t xml:space="preserve"> Memorial da Democracia, [2015] .Disponível em:</w:t>
      </w:r>
      <w:hyperlink r:id="rId7">
        <w:r w:rsidDel="00000000" w:rsidR="00000000" w:rsidRPr="00000000">
          <w:rPr>
            <w:sz w:val="24"/>
            <w:szCs w:val="24"/>
            <w:rtl w:val="0"/>
          </w:rPr>
          <w:t xml:space="preserve"> </w:t>
        </w:r>
      </w:hyperlink>
      <w:hyperlink r:id="rId8">
        <w:r w:rsidDel="00000000" w:rsidR="00000000" w:rsidRPr="00000000">
          <w:rPr>
            <w:sz w:val="24"/>
            <w:szCs w:val="24"/>
            <w:rtl w:val="0"/>
          </w:rPr>
          <w:t xml:space="preserve">https://memorialdademocracia.com.br/conflitos/pb</w:t>
        </w:r>
      </w:hyperlink>
      <w:r w:rsidDel="00000000" w:rsidR="00000000" w:rsidRPr="00000000">
        <w:rPr>
          <w:sz w:val="24"/>
          <w:szCs w:val="24"/>
          <w:rtl w:val="0"/>
        </w:rPr>
        <w:t xml:space="preserve">. Acesso em: 3 jul. 2025.</w:t>
      </w:r>
    </w:p>
    <w:p w:rsidR="00000000" w:rsidDel="00000000" w:rsidP="00000000" w:rsidRDefault="00000000" w:rsidRPr="00000000" w14:paraId="00000050">
      <w:pPr>
        <w:spacing w:after="240" w:before="240" w:lineRule="auto"/>
        <w:jc w:val="both"/>
        <w:rPr>
          <w:sz w:val="24"/>
          <w:szCs w:val="24"/>
        </w:rPr>
      </w:pPr>
      <w:r w:rsidDel="00000000" w:rsidR="00000000" w:rsidRPr="00000000">
        <w:rPr>
          <w:sz w:val="24"/>
          <w:szCs w:val="24"/>
          <w:rtl w:val="0"/>
        </w:rPr>
        <w:t xml:space="preserve">MEMORIAL DA RESISTÊNCIA SP. </w:t>
      </w:r>
      <w:r w:rsidDel="00000000" w:rsidR="00000000" w:rsidRPr="00000000">
        <w:rPr>
          <w:i w:val="1"/>
          <w:sz w:val="24"/>
          <w:szCs w:val="24"/>
          <w:rtl w:val="0"/>
        </w:rPr>
        <w:t xml:space="preserve">João Pedro Teixeira</w:t>
      </w:r>
      <w:r w:rsidDel="00000000" w:rsidR="00000000" w:rsidRPr="00000000">
        <w:rPr>
          <w:sz w:val="24"/>
          <w:szCs w:val="24"/>
          <w:rtl w:val="0"/>
        </w:rPr>
        <w:t xml:space="preserve">. São Paulo: </w:t>
      </w:r>
      <w:r w:rsidDel="00000000" w:rsidR="00000000" w:rsidRPr="00000000">
        <w:rPr>
          <w:b w:val="1"/>
          <w:sz w:val="24"/>
          <w:szCs w:val="24"/>
          <w:rtl w:val="0"/>
        </w:rPr>
        <w:t xml:space="preserve">Memorial da Resistência</w:t>
      </w:r>
      <w:r w:rsidDel="00000000" w:rsidR="00000000" w:rsidRPr="00000000">
        <w:rPr>
          <w:sz w:val="24"/>
          <w:szCs w:val="24"/>
          <w:rtl w:val="0"/>
        </w:rPr>
        <w:t xml:space="preserve">, s.d. Disponível em:</w:t>
      </w:r>
      <w:hyperlink r:id="rId9">
        <w:r w:rsidDel="00000000" w:rsidR="00000000" w:rsidRPr="00000000">
          <w:rPr>
            <w:sz w:val="24"/>
            <w:szCs w:val="24"/>
            <w:rtl w:val="0"/>
          </w:rPr>
          <w:t xml:space="preserve"> https://memorialdaresistenciasp.org.br/pessoas/joao-pedro-teixeira/</w:t>
        </w:r>
      </w:hyperlink>
      <w:r w:rsidDel="00000000" w:rsidR="00000000" w:rsidRPr="00000000">
        <w:rPr>
          <w:sz w:val="24"/>
          <w:szCs w:val="24"/>
          <w:rtl w:val="0"/>
        </w:rPr>
        <w:t xml:space="preserve">. Acesso em: 3 jul. 2025. </w:t>
      </w:r>
      <w:r w:rsidDel="00000000" w:rsidR="00000000" w:rsidRPr="00000000">
        <w:rPr>
          <w:rtl w:val="0"/>
        </w:rPr>
      </w:r>
    </w:p>
    <w:p w:rsidR="00000000" w:rsidDel="00000000" w:rsidP="00000000" w:rsidRDefault="00000000" w:rsidRPr="00000000" w14:paraId="00000051">
      <w:pPr>
        <w:jc w:val="both"/>
        <w:rPr>
          <w:sz w:val="24"/>
          <w:szCs w:val="24"/>
        </w:rPr>
      </w:pPr>
      <w:r w:rsidDel="00000000" w:rsidR="00000000" w:rsidRPr="00000000">
        <w:rPr>
          <w:sz w:val="24"/>
          <w:szCs w:val="24"/>
          <w:rtl w:val="0"/>
        </w:rPr>
        <w:t xml:space="preserve">MORAIS, Clodomir Santos. História das Ligas Camponesas no Brasil. In: </w:t>
      </w:r>
      <w:r w:rsidDel="00000000" w:rsidR="00000000" w:rsidRPr="00000000">
        <w:rPr>
          <w:b w:val="1"/>
          <w:sz w:val="24"/>
          <w:szCs w:val="24"/>
          <w:rtl w:val="0"/>
        </w:rPr>
        <w:t xml:space="preserve">A Questão Agrária no Brasil: história e natureza das Ligas Camponesas 1954-1964</w:t>
      </w:r>
      <w:r w:rsidDel="00000000" w:rsidR="00000000" w:rsidRPr="00000000">
        <w:rPr>
          <w:sz w:val="24"/>
          <w:szCs w:val="24"/>
          <w:rtl w:val="0"/>
        </w:rPr>
        <w:t xml:space="preserve">. São Paulo, Expressão Popular, 2012 (p. 21-70).</w:t>
      </w:r>
    </w:p>
    <w:p w:rsidR="00000000" w:rsidDel="00000000" w:rsidP="00000000" w:rsidRDefault="00000000" w:rsidRPr="00000000" w14:paraId="00000052">
      <w:pPr>
        <w:jc w:val="both"/>
        <w:rPr>
          <w:sz w:val="24"/>
          <w:szCs w:val="24"/>
        </w:rPr>
      </w:pPr>
      <w:r w:rsidDel="00000000" w:rsidR="00000000" w:rsidRPr="00000000">
        <w:rPr>
          <w:rtl w:val="0"/>
        </w:rPr>
      </w:r>
    </w:p>
    <w:p w:rsidR="00000000" w:rsidDel="00000000" w:rsidP="00000000" w:rsidRDefault="00000000" w:rsidRPr="00000000" w14:paraId="00000053">
      <w:pPr>
        <w:jc w:val="both"/>
        <w:rPr>
          <w:color w:val="111111"/>
          <w:sz w:val="26"/>
          <w:szCs w:val="26"/>
        </w:rPr>
      </w:pPr>
      <w:r w:rsidDel="00000000" w:rsidR="00000000" w:rsidRPr="00000000">
        <w:rPr>
          <w:color w:val="111111"/>
          <w:sz w:val="26"/>
          <w:szCs w:val="26"/>
          <w:rtl w:val="0"/>
        </w:rPr>
        <w:t xml:space="preserve">NETTO, José Paulo. Ditadura e Serviço Social: uma análise do Serviço Social no Brasil pós‑64. São Paulo: Cortez, 2011.</w:t>
      </w:r>
    </w:p>
    <w:p w:rsidR="00000000" w:rsidDel="00000000" w:rsidP="00000000" w:rsidRDefault="00000000" w:rsidRPr="00000000" w14:paraId="00000054">
      <w:pPr>
        <w:jc w:val="both"/>
        <w:rPr>
          <w:sz w:val="24"/>
          <w:szCs w:val="24"/>
        </w:rPr>
      </w:pPr>
      <w:r w:rsidDel="00000000" w:rsidR="00000000" w:rsidRPr="00000000">
        <w:rPr>
          <w:rtl w:val="0"/>
        </w:rPr>
      </w:r>
    </w:p>
    <w:p w:rsidR="00000000" w:rsidDel="00000000" w:rsidP="00000000" w:rsidRDefault="00000000" w:rsidRPr="00000000" w14:paraId="00000055">
      <w:pPr>
        <w:jc w:val="both"/>
        <w:rPr>
          <w:sz w:val="24"/>
          <w:szCs w:val="24"/>
        </w:rPr>
      </w:pPr>
      <w:r w:rsidDel="00000000" w:rsidR="00000000" w:rsidRPr="00000000">
        <w:rPr>
          <w:sz w:val="24"/>
          <w:szCs w:val="24"/>
          <w:rtl w:val="0"/>
        </w:rPr>
        <w:t xml:space="preserve">PRADO JÚNIOR, Caio. </w:t>
      </w:r>
      <w:r w:rsidDel="00000000" w:rsidR="00000000" w:rsidRPr="00000000">
        <w:rPr>
          <w:b w:val="1"/>
          <w:sz w:val="24"/>
          <w:szCs w:val="24"/>
          <w:rtl w:val="0"/>
        </w:rPr>
        <w:t xml:space="preserve">Formação do Brasil Contemporâneo</w:t>
      </w:r>
      <w:r w:rsidDel="00000000" w:rsidR="00000000" w:rsidRPr="00000000">
        <w:rPr>
          <w:sz w:val="24"/>
          <w:szCs w:val="24"/>
          <w:rtl w:val="0"/>
        </w:rPr>
        <w:t xml:space="preserve">. São Paulo: Companhia das Letras, 2011.</w:t>
      </w:r>
    </w:p>
    <w:p w:rsidR="00000000" w:rsidDel="00000000" w:rsidP="00000000" w:rsidRDefault="00000000" w:rsidRPr="00000000" w14:paraId="00000056">
      <w:pPr>
        <w:jc w:val="both"/>
        <w:rPr>
          <w:sz w:val="24"/>
          <w:szCs w:val="24"/>
        </w:rPr>
      </w:pPr>
      <w:r w:rsidDel="00000000" w:rsidR="00000000" w:rsidRPr="00000000">
        <w:rPr>
          <w:rtl w:val="0"/>
        </w:rPr>
      </w:r>
    </w:p>
    <w:p w:rsidR="00000000" w:rsidDel="00000000" w:rsidP="00000000" w:rsidRDefault="00000000" w:rsidRPr="00000000" w14:paraId="00000057">
      <w:pPr>
        <w:spacing w:after="240" w:before="240" w:lineRule="auto"/>
        <w:jc w:val="both"/>
        <w:rPr>
          <w:sz w:val="24"/>
          <w:szCs w:val="24"/>
        </w:rPr>
      </w:pPr>
      <w:r w:rsidDel="00000000" w:rsidR="00000000" w:rsidRPr="00000000">
        <w:rPr>
          <w:sz w:val="24"/>
          <w:szCs w:val="24"/>
          <w:rtl w:val="0"/>
        </w:rPr>
        <w:t xml:space="preserve">RIPPEL, Leomar; NUNES, Sidemar Presotto (orgs.). Imperialismo e questão agrária: a luta de classes no campo brasileiro. Maringá: Habitus, 2020.</w:t>
      </w:r>
    </w:p>
    <w:p w:rsidR="00000000" w:rsidDel="00000000" w:rsidP="00000000" w:rsidRDefault="00000000" w:rsidRPr="00000000" w14:paraId="00000058">
      <w:pPr>
        <w:jc w:val="both"/>
        <w:rPr>
          <w:sz w:val="24"/>
          <w:szCs w:val="24"/>
        </w:rPr>
      </w:pPr>
      <w:r w:rsidDel="00000000" w:rsidR="00000000" w:rsidRPr="00000000">
        <w:rPr>
          <w:sz w:val="24"/>
          <w:szCs w:val="24"/>
          <w:rtl w:val="0"/>
        </w:rPr>
        <w:t xml:space="preserve">VANDECK, Santiago. Francisco Julião, as Ligas Camponesas e o golpe militar de 1964. In: </w:t>
      </w:r>
      <w:r w:rsidDel="00000000" w:rsidR="00000000" w:rsidRPr="00000000">
        <w:rPr>
          <w:b w:val="1"/>
          <w:sz w:val="24"/>
          <w:szCs w:val="24"/>
          <w:rtl w:val="0"/>
        </w:rPr>
        <w:t xml:space="preserve">A Questão Agrária no Brasil: história e natureza das Ligas Camponesas 1954-1964</w:t>
      </w:r>
      <w:r w:rsidDel="00000000" w:rsidR="00000000" w:rsidRPr="00000000">
        <w:rPr>
          <w:sz w:val="24"/>
          <w:szCs w:val="24"/>
          <w:rtl w:val="0"/>
        </w:rPr>
        <w:t xml:space="preserve">. São Paulo, Expressão Popular, 2012 (p.157-186).</w:t>
      </w:r>
    </w:p>
    <w:p w:rsidR="00000000" w:rsidDel="00000000" w:rsidP="00000000" w:rsidRDefault="00000000" w:rsidRPr="00000000" w14:paraId="00000059">
      <w:pPr>
        <w:jc w:val="both"/>
        <w:rPr>
          <w:sz w:val="24"/>
          <w:szCs w:val="24"/>
        </w:rPr>
      </w:pP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sz w:val="24"/>
          <w:szCs w:val="24"/>
          <w:rtl w:val="0"/>
        </w:rPr>
        <w:t xml:space="preserve">WELCH, Clifford Andrew. </w:t>
      </w:r>
      <w:r w:rsidDel="00000000" w:rsidR="00000000" w:rsidRPr="00000000">
        <w:rPr>
          <w:b w:val="1"/>
          <w:sz w:val="24"/>
          <w:szCs w:val="24"/>
          <w:rtl w:val="0"/>
        </w:rPr>
        <w:t xml:space="preserve">A semente foi plantada</w:t>
      </w:r>
      <w:r w:rsidDel="00000000" w:rsidR="00000000" w:rsidRPr="00000000">
        <w:rPr>
          <w:sz w:val="24"/>
          <w:szCs w:val="24"/>
          <w:rtl w:val="0"/>
        </w:rPr>
        <w:t xml:space="preserve">: As raízes paulistas no movimento sindical brasileiro. São Paulo: Expressão Popular, 2010.</w:t>
      </w:r>
      <w:r w:rsidDel="00000000" w:rsidR="00000000" w:rsidRPr="00000000">
        <w:rPr>
          <w:rtl w:val="0"/>
        </w:rPr>
      </w:r>
    </w:p>
    <w:sectPr>
      <w:headerReference r:id="rId10" w:type="default"/>
      <w:foot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do curso de Serviço Social da Universidade do Estado do Rio de Janeiro - UERJ. E-mail: </w:t>
      </w:r>
      <w:hyperlink r:id="rId1">
        <w:r w:rsidDel="00000000" w:rsidR="00000000" w:rsidRPr="00000000">
          <w:rPr>
            <w:sz w:val="20"/>
            <w:szCs w:val="20"/>
            <w:rtl w:val="0"/>
          </w:rPr>
          <w:t xml:space="preserve">millenazvdo@gmail.com</w:t>
        </w:r>
      </w:hyperlink>
      <w:r w:rsidDel="00000000" w:rsidR="00000000" w:rsidRPr="00000000">
        <w:rPr>
          <w:rtl w:val="0"/>
        </w:rPr>
      </w:r>
    </w:p>
    <w:p w:rsidR="00000000" w:rsidDel="00000000" w:rsidP="00000000" w:rsidRDefault="00000000" w:rsidRPr="00000000" w14:paraId="0000005E">
      <w:pPr>
        <w:spacing w:line="240" w:lineRule="auto"/>
        <w:jc w:val="both"/>
        <w:rPr>
          <w:sz w:val="20"/>
          <w:szCs w:val="20"/>
        </w:rPr>
      </w:pPr>
      <w:r w:rsidDel="00000000" w:rsidR="00000000" w:rsidRPr="00000000">
        <w:rPr>
          <w:sz w:val="20"/>
          <w:szCs w:val="20"/>
          <w:rtl w:val="0"/>
        </w:rPr>
        <w:t xml:space="preserve">² Estudante de graduação do curso de Serviço Social da UERJ. E-mail: </w:t>
      </w:r>
      <w:hyperlink r:id="rId2">
        <w:r w:rsidDel="00000000" w:rsidR="00000000" w:rsidRPr="00000000">
          <w:rPr>
            <w:sz w:val="20"/>
            <w:szCs w:val="20"/>
            <w:rtl w:val="0"/>
          </w:rPr>
          <w:t xml:space="preserve">alicemxdo@gmail.com</w:t>
        </w:r>
      </w:hyperlink>
      <w:r w:rsidDel="00000000" w:rsidR="00000000" w:rsidRPr="00000000">
        <w:rPr>
          <w:rtl w:val="0"/>
        </w:rPr>
      </w:r>
    </w:p>
    <w:p w:rsidR="00000000" w:rsidDel="00000000" w:rsidP="00000000" w:rsidRDefault="00000000" w:rsidRPr="00000000" w14:paraId="0000005F">
      <w:pPr>
        <w:spacing w:line="240" w:lineRule="auto"/>
        <w:jc w:val="both"/>
        <w:rPr>
          <w:sz w:val="20"/>
          <w:szCs w:val="20"/>
        </w:rPr>
      </w:pPr>
      <w:r w:rsidDel="00000000" w:rsidR="00000000" w:rsidRPr="00000000">
        <w:rPr>
          <w:sz w:val="20"/>
          <w:szCs w:val="20"/>
          <w:rtl w:val="0"/>
        </w:rPr>
        <w:t xml:space="preserve">³ Psicólogo formado pela Universidade Federal do Rio de Janeiro - UFRJ. E-mail: </w:t>
      </w:r>
      <w:hyperlink r:id="rId3">
        <w:r w:rsidDel="00000000" w:rsidR="00000000" w:rsidRPr="00000000">
          <w:rPr>
            <w:sz w:val="20"/>
            <w:szCs w:val="20"/>
            <w:rtl w:val="0"/>
          </w:rPr>
          <w:t xml:space="preserve">rodrigodeoliveirapsi@gmail.com</w:t>
        </w:r>
      </w:hyperlink>
      <w:r w:rsidDel="00000000" w:rsidR="00000000" w:rsidRPr="00000000">
        <w:rPr>
          <w:rtl w:val="0"/>
        </w:rPr>
      </w:r>
    </w:p>
    <w:p w:rsidR="00000000" w:rsidDel="00000000" w:rsidP="00000000" w:rsidRDefault="00000000" w:rsidRPr="00000000" w14:paraId="00000060">
      <w:pPr>
        <w:spacing w:line="240" w:lineRule="auto"/>
        <w:jc w:val="both"/>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-64639</wp:posOffset>
          </wp:positionH>
          <wp:positionV relativeFrom="page">
            <wp:posOffset>-90495</wp:posOffset>
          </wp:positionV>
          <wp:extent cx="7632252" cy="1099659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32252" cy="1099659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memorialdaresistenciasp.org.br/pessoas/joao-pedro-teixeir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memorialdademocracia.com.br/conflitos/pb" TargetMode="External"/><Relationship Id="rId8" Type="http://schemas.openxmlformats.org/officeDocument/2006/relationships/hyperlink" Target="https://memorialdademocracia.com.br/conflitos/p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illenazvdo.ma@gmail.com" TargetMode="External"/><Relationship Id="rId2" Type="http://schemas.openxmlformats.org/officeDocument/2006/relationships/hyperlink" Target="mailto:alicemxdo@gmail.com" TargetMode="External"/><Relationship Id="rId3" Type="http://schemas.openxmlformats.org/officeDocument/2006/relationships/hyperlink" Target="mailto:rodrigodeoliveiraps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