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Políticas Públicas e Gestão de Desastres:</w:t>
      </w:r>
      <w:r w:rsidDel="00000000" w:rsidR="00000000" w:rsidRPr="00000000">
        <w:rPr>
          <w:sz w:val="24"/>
          <w:szCs w:val="24"/>
          <w:rtl w:val="0"/>
        </w:rPr>
        <w:t xml:space="preserve"> As disparidades e paralelos entre as catástrofes em Porto Rico (2017) e Nova Orleans (2005)</w:t>
      </w:r>
    </w:p>
    <w:p w:rsidR="00000000" w:rsidDel="00000000" w:rsidP="00000000" w:rsidRDefault="00000000" w:rsidRPr="00000000" w14:paraId="00000002">
      <w:pPr>
        <w:spacing w:line="240" w:lineRule="auto"/>
        <w:jc w:val="right"/>
        <w:rPr/>
      </w:pPr>
      <w:r w:rsidDel="00000000" w:rsidR="00000000" w:rsidRPr="00000000">
        <w:rPr>
          <w:rtl w:val="0"/>
        </w:rPr>
        <w:t xml:space="preserve">Marcela Vitória Batalha Marinho</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right"/>
        <w:rPr/>
      </w:pPr>
      <w:r w:rsidDel="00000000" w:rsidR="00000000" w:rsidRPr="00000000">
        <w:rPr>
          <w:rtl w:val="0"/>
        </w:rPr>
        <w:t xml:space="preserve">Fábio Augusto Siqueira dos Santos</w:t>
      </w:r>
      <w:r w:rsidDel="00000000" w:rsidR="00000000" w:rsidRPr="00000000">
        <w:rPr>
          <w:vertAlign w:val="superscript"/>
        </w:rPr>
        <w:footnoteReference w:customMarkFollows="0" w:id="1"/>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sz w:val="20"/>
          <w:szCs w:val="20"/>
          <w:rtl w:val="0"/>
        </w:rPr>
        <w:t xml:space="preserve">O presente artigo realiza uma análise comparativa entre os efeitos do Furacão Katrina (Nova Orleans, 2005) e do Furacão Maria (Porto Rico, 2017), com foco nas disparidades das políticas públicas de gestão de desastres implementadas pelo governo dos Estados Unidos. Para tal, utiliza-se uma abordagem qualitativa, de caráter exploratório e descritivo, com base em revisão bibliográfica e análise de dados secundários. A pesquisa evidencia que fatores sociopolíticos, tais como o racismo estrutural e o status colonial de Porto Rico, influenciam diretamente a eficácia das respostas institucionais. As reflexões finais apontam para a necessidade de um novo paradigma de gestão de riscos, centrado na prevenção, na equidade social e na justiça ambiental. Por fim, defende-se a adoção de políticas públicas integradas e colaborativas, capazes de promover resiliência comunitária e enfrentar, de maneira eficaz, os desafios impostos pelos desastres naturais em um contexto de intensificação das mudanças climáticas e crescente interdependência global.</w:t>
      </w:r>
      <w:r w:rsidDel="00000000" w:rsidR="00000000" w:rsidRPr="00000000">
        <w:rPr>
          <w:sz w:val="20"/>
          <w:szCs w:val="20"/>
          <w:vertAlign w:val="baseline"/>
          <w:rtl w:val="0"/>
        </w:rPr>
        <w:t xml:space="preserve"> </w:t>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Gestão de Desastres; Políticas Públicas; Furacão Katrina; Furacão Maria. </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1"/>
          <w:sz w:val="20"/>
          <w:szCs w:val="20"/>
          <w:vertAlign w:val="baseline"/>
        </w:rPr>
      </w:pPr>
      <w:r w:rsidDel="00000000" w:rsidR="00000000" w:rsidRPr="00000000">
        <w:rPr>
          <w:b w:val="1"/>
          <w:sz w:val="20"/>
          <w:szCs w:val="20"/>
          <w:vertAlign w:val="baseline"/>
          <w:rtl w:val="0"/>
        </w:rPr>
        <w:t xml:space="preserve">Abstract</w:t>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sz w:val="20"/>
          <w:szCs w:val="20"/>
          <w:rtl w:val="0"/>
        </w:rPr>
        <w:t xml:space="preserve">This article makes a comparative analysis on the effects of Hurricane Katrina (New Orleans, 2005) and Hurricane Maria (Puerto Rico, 2017), focusing on the disparities in public disaster management policies implemented by the US government. In order to do this, a qualitative, exploratory and descriptive approach was used, based on a literature review and analysis of secondary data. The research shows how socio-political factors, such as structural racism and Puerto Rico's colonial status, directly influence the effectiveness of institutional responses. The final reflections point to the need for a new risk management paradigm, centered on prevention, social equity and environmental justice. Lastly, it advocates the adoption of integrated and collaborative public policies capable of promoting community resilience and effectively addressing the challenges posed by disasters in a context of intensifying climate change and growing global interdependence.</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Disaster Management</w:t>
      </w:r>
      <w:r w:rsidDel="00000000" w:rsidR="00000000" w:rsidRPr="00000000">
        <w:rPr>
          <w:sz w:val="20"/>
          <w:szCs w:val="20"/>
          <w:vertAlign w:val="baseline"/>
          <w:rtl w:val="0"/>
        </w:rPr>
        <w:t xml:space="preserve">; </w:t>
      </w:r>
      <w:r w:rsidDel="00000000" w:rsidR="00000000" w:rsidRPr="00000000">
        <w:rPr>
          <w:sz w:val="20"/>
          <w:szCs w:val="20"/>
          <w:rtl w:val="0"/>
        </w:rPr>
        <w:t xml:space="preserve">Public Policies</w:t>
      </w:r>
      <w:r w:rsidDel="00000000" w:rsidR="00000000" w:rsidRPr="00000000">
        <w:rPr>
          <w:sz w:val="20"/>
          <w:szCs w:val="20"/>
          <w:vertAlign w:val="baseline"/>
          <w:rtl w:val="0"/>
        </w:rPr>
        <w:t xml:space="preserve">; </w:t>
      </w:r>
      <w:r w:rsidDel="00000000" w:rsidR="00000000" w:rsidRPr="00000000">
        <w:rPr>
          <w:sz w:val="20"/>
          <w:szCs w:val="20"/>
          <w:rtl w:val="0"/>
        </w:rPr>
        <w:t xml:space="preserve">Hurricane Katrina; Hurricane Maria</w:t>
      </w:r>
      <w:r w:rsidDel="00000000" w:rsidR="00000000" w:rsidRPr="00000000">
        <w:rPr>
          <w:sz w:val="20"/>
          <w:szCs w:val="20"/>
          <w:vertAlign w:val="baseline"/>
          <w:rtl w:val="0"/>
        </w:rPr>
        <w:t xml:space="preserve">.</w:t>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E">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0F">
      <w:pPr>
        <w:spacing w:line="360" w:lineRule="auto"/>
        <w:ind w:firstLine="709"/>
        <w:jc w:val="both"/>
        <w:rPr>
          <w:sz w:val="24"/>
          <w:szCs w:val="24"/>
        </w:rPr>
      </w:pPr>
      <w:r w:rsidDel="00000000" w:rsidR="00000000" w:rsidRPr="00000000">
        <w:rPr>
          <w:sz w:val="24"/>
          <w:szCs w:val="24"/>
          <w:rtl w:val="0"/>
        </w:rPr>
        <w:t xml:space="preserve">A gestão de desastres é uma questão crítica que se tornou cada vez mais relevante no cenário global, especialmente à medida que a frequência e a intensidade de desastres naturais aumentam devido às mudanças climáticas. A correta gestão de desastres envolve um conjunto de práticas e políticas que buscam reduzir os impactos de eventos adversos sobre as populações, economias e ecossistemas. Em um mundo interconectado, as consequências de desastres em uma região podem ressoar globalmente, afetando mercados, migrações e relações diplomáticas.</w:t>
      </w:r>
    </w:p>
    <w:p w:rsidR="00000000" w:rsidDel="00000000" w:rsidP="00000000" w:rsidRDefault="00000000" w:rsidRPr="00000000" w14:paraId="00000010">
      <w:pPr>
        <w:spacing w:line="360" w:lineRule="auto"/>
        <w:ind w:firstLine="709"/>
        <w:jc w:val="both"/>
        <w:rPr>
          <w:sz w:val="24"/>
          <w:szCs w:val="24"/>
        </w:rPr>
      </w:pPr>
      <w:r w:rsidDel="00000000" w:rsidR="00000000" w:rsidRPr="00000000">
        <w:rPr>
          <w:sz w:val="24"/>
          <w:szCs w:val="24"/>
          <w:rtl w:val="0"/>
        </w:rPr>
        <w:t xml:space="preserve">Neste contexto, o presente artigo propõe primordialmente analisar as disparidades nas políticas públicas e na gestão de desastres entre Porto Rico, afetado pelo furacão Maria em 2017, e Nova Orleans, devastada pelo furacão Katrina em 2005. Ambas as regiões exemplificam como desastres naturais podem exacerbar crises sociais, econômicas e políticas, exigindo respostas adequadas e eficientes. Dentre os objetivos específicos do trabalho, estão entender os respectivos contextos geopolíticos e sociais que levaram à discrepância nas medidas implementadas, refletir sobre o papel da gestão de desastres na cultura de resiliência das cidades, e apontar os principais paralelos e distanciamentos nos dois casos apresentados. </w:t>
      </w:r>
    </w:p>
    <w:p w:rsidR="00000000" w:rsidDel="00000000" w:rsidP="00000000" w:rsidRDefault="00000000" w:rsidRPr="00000000" w14:paraId="00000011">
      <w:pPr>
        <w:spacing w:line="360" w:lineRule="auto"/>
        <w:ind w:firstLine="709"/>
        <w:jc w:val="both"/>
        <w:rPr>
          <w:sz w:val="24"/>
          <w:szCs w:val="24"/>
        </w:rPr>
      </w:pPr>
      <w:r w:rsidDel="00000000" w:rsidR="00000000" w:rsidRPr="00000000">
        <w:rPr>
          <w:sz w:val="24"/>
          <w:szCs w:val="24"/>
          <w:rtl w:val="0"/>
        </w:rPr>
        <w:t xml:space="preserve">A metodologia adotada neste trabalho baseou-se em uma abordagem qualitativa de cunho exploratório e descritivo, centrada no estudo comparativo de dois casos específicos que envolvem o mesmo fenômeno natural, em locais com certa proximidade geográfica e domínio político comum. Para tal, foi realizada uma pesquisa bibliográfica para embasar teoricamente a análise quanto às discussões sobre os desastres e suas consequências, complementada pela coleta sistemática de dados secundários provenientes de relatórios oficiais, documentos institucionais e bases públicas de dados. A análise dos dados buscou identificar padrões, contrastes e elementos estruturais relevantes à temática de gestão de desastres para traçar reflexões sobre a importância de políticas voltadas à prevenção e mitigação de danos frente a eventos extremos.</w:t>
      </w:r>
    </w:p>
    <w:p w:rsidR="00000000" w:rsidDel="00000000" w:rsidP="00000000" w:rsidRDefault="00000000" w:rsidRPr="00000000" w14:paraId="00000012">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3">
      <w:pPr>
        <w:spacing w:line="360" w:lineRule="auto"/>
        <w:jc w:val="both"/>
        <w:rPr>
          <w:sz w:val="24"/>
          <w:szCs w:val="24"/>
        </w:rPr>
      </w:pPr>
      <w:r w:rsidDel="00000000" w:rsidR="00000000" w:rsidRPr="00000000">
        <w:rPr>
          <w:b w:val="1"/>
          <w:sz w:val="24"/>
          <w:szCs w:val="24"/>
          <w:rtl w:val="0"/>
        </w:rPr>
        <w:t xml:space="preserve">2</w:t>
        <w:tab/>
        <w:t xml:space="preserve">A RELEVÂNCIA DA GESTÃO DE DESASTRES EM ÂMBITO GLOBAL</w:t>
      </w:r>
      <w:r w:rsidDel="00000000" w:rsidR="00000000" w:rsidRPr="00000000">
        <w:rPr>
          <w:rtl w:val="0"/>
        </w:rPr>
      </w:r>
    </w:p>
    <w:p w:rsidR="00000000" w:rsidDel="00000000" w:rsidP="00000000" w:rsidRDefault="00000000" w:rsidRPr="00000000" w14:paraId="00000014">
      <w:pPr>
        <w:spacing w:line="360" w:lineRule="auto"/>
        <w:jc w:val="both"/>
        <w:rPr>
          <w:sz w:val="24"/>
          <w:szCs w:val="24"/>
        </w:rPr>
      </w:pPr>
      <w:r w:rsidDel="00000000" w:rsidR="00000000" w:rsidRPr="00000000">
        <w:rPr>
          <w:rtl w:val="0"/>
        </w:rPr>
      </w:r>
    </w:p>
    <w:p w:rsidR="00000000" w:rsidDel="00000000" w:rsidP="00000000" w:rsidRDefault="00000000" w:rsidRPr="00000000" w14:paraId="00000015">
      <w:pPr>
        <w:spacing w:line="360" w:lineRule="auto"/>
        <w:jc w:val="both"/>
        <w:rPr>
          <w:sz w:val="24"/>
          <w:szCs w:val="24"/>
        </w:rPr>
      </w:pPr>
      <w:r w:rsidDel="00000000" w:rsidR="00000000" w:rsidRPr="00000000">
        <w:rPr>
          <w:sz w:val="24"/>
          <w:szCs w:val="24"/>
          <w:rtl w:val="0"/>
        </w:rPr>
        <w:tab/>
        <w:t xml:space="preserve">A importância da gestão de desastres é evidenciada pela necessidade de proteger vidas humanas e garantir a segurança das comunidades. De acordo com dados da Organização das Nações Unidas (ONU), milhões de pessoas são afetadas anualmente por desastres naturais, e a recuperação de tais eventos pode levar anos ou até décadas. O Furacão Maria, por exemplo, resultou em perdas econômicas inimagináveis e afetou a vida de milhões de porto-riquenhos (Alvarado, 2017).</w:t>
      </w:r>
    </w:p>
    <w:p w:rsidR="00000000" w:rsidDel="00000000" w:rsidP="00000000" w:rsidRDefault="00000000" w:rsidRPr="00000000" w14:paraId="00000016">
      <w:pPr>
        <w:spacing w:line="360" w:lineRule="auto"/>
        <w:jc w:val="both"/>
        <w:rPr>
          <w:sz w:val="24"/>
          <w:szCs w:val="24"/>
        </w:rPr>
      </w:pPr>
      <w:r w:rsidDel="00000000" w:rsidR="00000000" w:rsidRPr="00000000">
        <w:rPr>
          <w:sz w:val="24"/>
          <w:szCs w:val="24"/>
          <w:rtl w:val="0"/>
        </w:rPr>
        <w:tab/>
        <w:t xml:space="preserve">Além disso, a gestão de desastres desempenha um papel fundamental na promoção da resiliência comunitária, sendo fundamental a existência de estruturas de suporte, como sistemas de alerta precoce e planos de evacuação, para salvar vidas e minimizar danos. A implementação eficaz dessas medidas pode ser a diferença entre um desastre controlável e uma catástrofe humanitária. Em Nova Orleans, após o furacão Katrina, a falta de um planejamento adequado resultou em uma resposta desastrosa, enquanto a recuperação subsequente orientou a cidade para uma nova era de planejamento urbano e infraestrutura (Fonseca de Moura, 2017).</w:t>
      </w:r>
    </w:p>
    <w:p w:rsidR="00000000" w:rsidDel="00000000" w:rsidP="00000000" w:rsidRDefault="00000000" w:rsidRPr="00000000" w14:paraId="00000017">
      <w:pPr>
        <w:spacing w:line="360" w:lineRule="auto"/>
        <w:jc w:val="both"/>
        <w:rPr>
          <w:sz w:val="24"/>
          <w:szCs w:val="24"/>
        </w:rPr>
      </w:pPr>
      <w:r w:rsidDel="00000000" w:rsidR="00000000" w:rsidRPr="00000000">
        <w:rPr>
          <w:sz w:val="24"/>
          <w:szCs w:val="24"/>
          <w:rtl w:val="0"/>
        </w:rPr>
        <w:tab/>
        <w:t xml:space="preserve">A atuação de agências internacionais, como a Agência Federal de Gestão de Emergências (FEMA) dos Estados Unidos, é vital para a coordenação de esforços de resposta a desastres. No entanto, a eficácia dessas instituições pode ser comprometida pela falta de recursos ou pela burocracia excessiva, como evidenciado na resposta ao furacão Maria em Porto Rico. Apresentando-se com a necessidade de uma abordagem mais integrada e colaborativa na gestão de desastres é, portanto, fundamental para garantir que os esforços de recuperação sejam eficazes e inclusivos.</w:t>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sz w:val="24"/>
          <w:szCs w:val="24"/>
          <w:rtl w:val="0"/>
        </w:rPr>
        <w:t xml:space="preserve">Ademais, a inovação tecnológica desempenha um papel crescente na gestão de desastres, pois o uso de dados em tempo real, de sistemas de monitoramento e de tecnologias de comunicação pode melhorar significativamente a capacidade de resposta a desastres. A implementação de soluções baseadas em blockchain, por exemplo, é capaz de facilitar a transparência e a eficiência na distribuição de recursos durante crises, como discutido no caso de Porto Rico (Sheller, 2023).</w:t>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O contexto de globalização traz novos desafios para a gestão de desastres, já que a interconexão entre países significa que os desastres não podem ser vistos isoladamente; suas consequências se espalham rapidamente, afetando economias e sociedades em todo o mundo. A coordenação internacional e o compartilhamento de melhores práticas são essenciais para enfrentar essa nova realidade, onde a solidariedade global se torna um imperativo moral e estratégico.</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Por fim, a gestão de desastres deve ser encarada como uma responsabilidade coletiva que envolve governos, organizações não governamentais e a sociedade civil, e a construção de uma cultura de preparação e resiliência é fundamental para que as comunidades possam enfrentar as adversidades de forma eficaz e digna, assim este artigo busca explorar essas questões, destacando a importância da gestão de desastres na construção de um futuro mais seguro e resiliente para todos.</w:t>
      </w:r>
    </w:p>
    <w:p w:rsidR="00000000" w:rsidDel="00000000" w:rsidP="00000000" w:rsidRDefault="00000000" w:rsidRPr="00000000" w14:paraId="0000001B">
      <w:pPr>
        <w:spacing w:line="360" w:lineRule="auto"/>
        <w:jc w:val="both"/>
        <w:rPr>
          <w:sz w:val="24"/>
          <w:szCs w:val="24"/>
        </w:rPr>
      </w:pPr>
      <w:r w:rsidDel="00000000" w:rsidR="00000000" w:rsidRPr="00000000">
        <w:rPr>
          <w:rtl w:val="0"/>
        </w:rPr>
      </w:r>
    </w:p>
    <w:p w:rsidR="00000000" w:rsidDel="00000000" w:rsidP="00000000" w:rsidRDefault="00000000" w:rsidRPr="00000000" w14:paraId="0000001C">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PORTO RICO E NOVA ORLEANS - AS DUAS AMÉRICAS</w:t>
      </w:r>
    </w:p>
    <w:p w:rsidR="00000000" w:rsidDel="00000000" w:rsidP="00000000" w:rsidRDefault="00000000" w:rsidRPr="00000000" w14:paraId="0000001D">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E">
      <w:pPr>
        <w:spacing w:line="360" w:lineRule="auto"/>
        <w:ind w:firstLine="709"/>
        <w:jc w:val="both"/>
        <w:rPr>
          <w:sz w:val="24"/>
          <w:szCs w:val="24"/>
          <w:vertAlign w:val="baseline"/>
        </w:rPr>
      </w:pPr>
      <w:r w:rsidDel="00000000" w:rsidR="00000000" w:rsidRPr="00000000">
        <w:rPr>
          <w:sz w:val="24"/>
          <w:szCs w:val="24"/>
          <w:rtl w:val="0"/>
        </w:rPr>
        <w:t xml:space="preserve">Antes de tratar efetivamente dos desastres ocorridos em Nova Orleans e Porto Rico em 2005 e 2017, é necessário entender os diferentes contextos preexistentes nas duas localidades. Nesta seção, busca-se trazer uma breve visão geral de ambos os locais, ressaltando seus respectivos históricos de desastres naturais e como tais eventos impactaram suas dinâmicas políticas e econômicas. Assim, será possível compreender melhor as razões para as diferenças na resposta governamental imediata e a longo prazo em cada situação.  </w:t>
      </w:r>
      <w:r w:rsidDel="00000000" w:rsidR="00000000" w:rsidRPr="00000000">
        <w:rPr>
          <w:rtl w:val="0"/>
        </w:rPr>
      </w:r>
    </w:p>
    <w:p w:rsidR="00000000" w:rsidDel="00000000" w:rsidP="00000000" w:rsidRDefault="00000000" w:rsidRPr="00000000" w14:paraId="0000001F">
      <w:pPr>
        <w:spacing w:line="360" w:lineRule="auto"/>
        <w:ind w:firstLine="709"/>
        <w:jc w:val="both"/>
        <w:rPr>
          <w:sz w:val="24"/>
          <w:szCs w:val="24"/>
        </w:rPr>
      </w:pPr>
      <w:r w:rsidDel="00000000" w:rsidR="00000000" w:rsidRPr="00000000">
        <w:rPr>
          <w:sz w:val="24"/>
          <w:szCs w:val="24"/>
          <w:rtl w:val="0"/>
        </w:rPr>
        <w:tab/>
        <w:t xml:space="preserve">Nova Orleans é uma cidade localizada no estado da Louisiana, mais especificamente entre as margens do famoso rio Mississipi, ao sul, e o Lago Pontchartrain, ao norte. Uma característica geográfica a se destacar do local é a sua baixa altitude: é, em sua maior parte, composta de terras planas com elevações próximas ou abaixo do nível do mar (Nova Orleans, 2025). Tal especificidade torna o local relativamente vulnerável a inundações, como é possível observar pelo seu histórico de bairros sendo devastados em temporadas de furacões desde os primórdios da cidade.</w:t>
      </w:r>
    </w:p>
    <w:p w:rsidR="00000000" w:rsidDel="00000000" w:rsidP="00000000" w:rsidRDefault="00000000" w:rsidRPr="00000000" w14:paraId="00000020">
      <w:pPr>
        <w:spacing w:line="360" w:lineRule="auto"/>
        <w:ind w:firstLine="709"/>
        <w:jc w:val="both"/>
        <w:rPr>
          <w:sz w:val="24"/>
          <w:szCs w:val="24"/>
        </w:rPr>
      </w:pPr>
      <w:r w:rsidDel="00000000" w:rsidR="00000000" w:rsidRPr="00000000">
        <w:rPr>
          <w:sz w:val="24"/>
          <w:szCs w:val="24"/>
          <w:rtl w:val="0"/>
        </w:rPr>
        <w:t xml:space="preserve">Nesse sentido, é indiscutível o impacto das condições topográficas da cidade para a recorrência de inundações causadas por tempestades, ciclones e furacões. Segundo J.D. Rogers (2008), antes do Furacão Katrina, o sistema de proteção contra inundações em Nova Orleans e seus territórios adjacentes já existia há aproximadamente 280 anos. Ainda assim, questões relativas à drenagem sempre foram alvo de desafios para os gestores da cidade, especialmente pela posição da mesma abaixo do nível do mar.  </w:t>
      </w:r>
    </w:p>
    <w:p w:rsidR="00000000" w:rsidDel="00000000" w:rsidP="00000000" w:rsidRDefault="00000000" w:rsidRPr="00000000" w14:paraId="00000021">
      <w:pPr>
        <w:spacing w:line="360" w:lineRule="auto"/>
        <w:ind w:firstLine="709"/>
        <w:jc w:val="both"/>
        <w:rPr>
          <w:b w:val="1"/>
          <w:sz w:val="24"/>
          <w:szCs w:val="24"/>
        </w:rPr>
      </w:pPr>
      <w:r w:rsidDel="00000000" w:rsidR="00000000" w:rsidRPr="00000000">
        <w:rPr>
          <w:sz w:val="24"/>
          <w:szCs w:val="24"/>
          <w:rtl w:val="0"/>
        </w:rPr>
        <w:t xml:space="preserve">A cidade já enfrentou diversos desastres que trouxeram grandes danos para a população, a exemplo do Furacão Cheniere Caminada em 1863 e o Furacão Betsy em 1965. Nos dois casos, inundações invadiram os principais bairros da cidade e trouxeram à tona a vulnerabilidade existente na infraestrutura local. Assim, percebe-se que, apesar do histórico de eventos extremos e características naturais inerentemente vulneráveis, a cidade não foi capaz de desenvolver medidas para prevenir a destruição que viria com o Katrina.</w:t>
      </w:r>
      <w:r w:rsidDel="00000000" w:rsidR="00000000" w:rsidRPr="00000000">
        <w:rPr>
          <w:rtl w:val="0"/>
        </w:rPr>
      </w:r>
    </w:p>
    <w:p w:rsidR="00000000" w:rsidDel="00000000" w:rsidP="00000000" w:rsidRDefault="00000000" w:rsidRPr="00000000" w14:paraId="00000022">
      <w:pPr>
        <w:spacing w:before="0" w:line="360" w:lineRule="auto"/>
        <w:ind w:firstLine="709"/>
        <w:jc w:val="both"/>
        <w:rPr>
          <w:sz w:val="24"/>
          <w:szCs w:val="24"/>
        </w:rPr>
      </w:pPr>
      <w:r w:rsidDel="00000000" w:rsidR="00000000" w:rsidRPr="00000000">
        <w:rPr>
          <w:sz w:val="24"/>
          <w:szCs w:val="24"/>
          <w:rtl w:val="0"/>
        </w:rPr>
        <w:t xml:space="preserve">A situação de Porto Rico se difere em alguns aspectos, a começar pelo político. Atualmente, Porto Rico possui o status de território não incorporado dos EUA, classificação estabelecida no final do século XIX, resultante da disputa entre os norte-americanos e a Espanha durante a Guerra Hispano-Americana (1898). Com o fim do conflito, a região transitou do domínio espanhol para o estadunidense, perdendo a classificação colonial mas permanecendo sob o controle de governos externos. De acordo com Garret (2017), a posse de Porto Rico proporcionou aos Estados Unidos um local central para exercer o poder militar e estratégico no Caribe, principalmente no contexto que precedeu a Segunda Guerra Mundial, evidenciando a relevância geopolítica do território. </w:t>
      </w:r>
    </w:p>
    <w:p w:rsidR="00000000" w:rsidDel="00000000" w:rsidP="00000000" w:rsidRDefault="00000000" w:rsidRPr="00000000" w14:paraId="00000023">
      <w:pPr>
        <w:spacing w:after="0" w:before="0" w:line="360" w:lineRule="auto"/>
        <w:ind w:firstLine="709"/>
        <w:jc w:val="both"/>
        <w:rPr>
          <w:sz w:val="24"/>
          <w:szCs w:val="24"/>
        </w:rPr>
      </w:pPr>
      <w:r w:rsidDel="00000000" w:rsidR="00000000" w:rsidRPr="00000000">
        <w:rPr>
          <w:sz w:val="24"/>
          <w:szCs w:val="24"/>
          <w:rtl w:val="0"/>
        </w:rPr>
        <w:t xml:space="preserve">O histórico de Porto Rico é marcado por instabilidades relacionadas à sua condição de território não incorporado, a começar pelas questões relacionadas aos direitos políticos dos cidadãos porto-riquenhos e da representatividade do arquipélago no Congresso Americano. Seu status de “não-estado” o isola das decisões políticas realizadas no continente, ao mesmo tempo em que as leis locais estão subordinadas à Constituição Federal. Conforme Garrett (2017), é possível dizer que, atualmente, Porto Rico está tanto integrada quanto “ilhada” ou isolada da sociedade americana. </w:t>
      </w:r>
    </w:p>
    <w:p w:rsidR="00000000" w:rsidDel="00000000" w:rsidP="00000000" w:rsidRDefault="00000000" w:rsidRPr="00000000" w14:paraId="00000024">
      <w:pPr>
        <w:spacing w:before="0" w:line="360" w:lineRule="auto"/>
        <w:ind w:firstLine="709"/>
        <w:jc w:val="both"/>
        <w:rPr>
          <w:sz w:val="24"/>
          <w:szCs w:val="24"/>
        </w:rPr>
      </w:pPr>
      <w:r w:rsidDel="00000000" w:rsidR="00000000" w:rsidRPr="00000000">
        <w:rPr>
          <w:sz w:val="24"/>
          <w:szCs w:val="24"/>
          <w:rtl w:val="0"/>
        </w:rPr>
        <w:t xml:space="preserve">Um aspecto notável do território é a presença massiva de seus cidadãos no continente – desde 2006, a população porto-riquenha é maior nos demais estados estadunidenses do que nas cidades que compõem o arquipélago, fator justificado principalmente por questões econômicas e empregatícias. De acordo com dados do Departamento do Censo dos Estados, em 2020 o território concentrava 3,2 milhões de pessoas, enquanto nos EUA o número de porto-riquenhos chegou a 5,7 milhões.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No âmbito dos desastres naturais, a localização geográfica de Porto Rico certamente é um fator decisivo para o histórico de frequentes tempestades, ciclones e furacões na região. Segundo a análise feita por López-Marrero e Castro-Rivera (2019), na região da bacia do Atlântico entre 1851 e 2019, um total de 1.614 tempestades tropicais e furacões se desenvolveram na bacia, dos quais 317 se tornaram grandes furacões em algum momento de sua trajetória. O estudo aponta que Porto Rico foi a terceira ilha mais afetada por tais fenômenos, com nove furacões, dos quais cinco foram de categoria 3, três de categoria 4 e um de categoria 5.</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É importante destacar alguns aspectos que tornam a incidência de fenômenos climáticos em Porto Rico um risco que pode variar de localidade para localidade, a partir das disparidades presentes no território. López-Marrero e Castro-Rivera (2019) chamam atenção para as cidades localizadas no interior da ilha, as quais possuem condições socioeconômicas inferiores e, consequentemente, apresentam maior vulnerabilidade. Tais municípios tendem a apresentar taxas de pobreza mais altas e proporções maiores de idosos e população com deficiência, que têm necessidades específicas. Além disso, muitas dessas cidades se encontram longe dos grandes centros urbanos, fator que dificulta o acesso a serviços de atendimento emergencial.</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Conclui-se então que Porto Rico é marcada por muitas características únicas, incluindo sua condição política e demais aspectos geográficos e culturais que lhe tornam um território instável e alvo de constantes debates. Ademais, em relação aos desastres naturais, seu histórico revela que tais fenômenos moldaram as políticas locais relacionadas a emergências e assistência social, apesar do acesso a tais benefícios não ser totalmente equitativo. Por fim, esses desastres, somados à crise econômica, incentivaram a migração de uma parcela significativa da população para o continente em busca de melhores oportunidades.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rtl w:val="0"/>
        </w:rPr>
      </w:r>
    </w:p>
    <w:p w:rsidR="00000000" w:rsidDel="00000000" w:rsidP="00000000" w:rsidRDefault="00000000" w:rsidRPr="00000000" w14:paraId="00000029">
      <w:pPr>
        <w:spacing w:line="360" w:lineRule="auto"/>
        <w:jc w:val="both"/>
        <w:rPr>
          <w:b w:val="1"/>
          <w:sz w:val="24"/>
          <w:szCs w:val="24"/>
        </w:rPr>
      </w:pPr>
      <w:r w:rsidDel="00000000" w:rsidR="00000000" w:rsidRPr="00000000">
        <w:rPr>
          <w:b w:val="1"/>
          <w:sz w:val="24"/>
          <w:szCs w:val="24"/>
          <w:rtl w:val="0"/>
        </w:rPr>
        <w:t xml:space="preserve">3</w:t>
        <w:tab/>
        <w:t xml:space="preserve">FURACÃO KATRINA E FURACÃO MARIA: ANÁLISE COMPARATIVA</w:t>
      </w:r>
    </w:p>
    <w:p w:rsidR="00000000" w:rsidDel="00000000" w:rsidP="00000000" w:rsidRDefault="00000000" w:rsidRPr="00000000" w14:paraId="0000002A">
      <w:pPr>
        <w:spacing w:line="360" w:lineRule="auto"/>
        <w:jc w:val="both"/>
        <w:rPr>
          <w:sz w:val="24"/>
          <w:szCs w:val="24"/>
        </w:rPr>
      </w:pPr>
      <w:r w:rsidDel="00000000" w:rsidR="00000000" w:rsidRPr="00000000">
        <w:rPr>
          <w:rtl w:val="0"/>
        </w:rPr>
      </w:r>
    </w:p>
    <w:p w:rsidR="00000000" w:rsidDel="00000000" w:rsidP="00000000" w:rsidRDefault="00000000" w:rsidRPr="00000000" w14:paraId="0000002B">
      <w:pPr>
        <w:spacing w:line="360" w:lineRule="auto"/>
        <w:jc w:val="both"/>
        <w:rPr>
          <w:sz w:val="24"/>
          <w:szCs w:val="24"/>
        </w:rPr>
      </w:pPr>
      <w:r w:rsidDel="00000000" w:rsidR="00000000" w:rsidRPr="00000000">
        <w:rPr>
          <w:sz w:val="24"/>
          <w:szCs w:val="24"/>
          <w:rtl w:val="0"/>
        </w:rPr>
        <w:tab/>
        <w:t xml:space="preserve">Nesta seção, pretende-se realizar uma análise comparativa entre o Furacão Katrina (2005) e o Furacão Maria (2017), levando em consideração a dimensão do desastre e as respectivas medidas de emergência e recuperação feitas pelo governo estadunidense em cada uma das situações. Assim, será possível traçar paralelos e identificar falhas comuns às duas situações, gerando reflexões sobre a gestão de desastres dos Estados Unidos e lições que podem ser aplicadas em âmbito global.</w:t>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O Furacão Katrina atingiu Nova Orleans em agosto de 2005, e é considerada uma das maiores catástrofes da história da cidade. De categoria 5, o fenômeno causou o colapso dos diques de contenção inundou cerca de 80% da cidade, matando mais de 1.800 pessoas e forçando o deslocamento em massa da população, principalmente afro-americana e de baixa renda (Coutinho, 2007; de Freitas, 2023), tendo como resposta das autoridades desorganização, racismo institucional e negligência sistemática, como atesta o relatório militar da Military Review (2008), ao descrever a atuação limitada da Brigada Black Jack frente às barreiras legais e logísticas em Algiers, um dos bairros mais impactados.</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A cidade já enfrentava desafios sociais e econômicos  prévios, incluindo desigualdade racial e pobreza, entretanto a resposta inadequada às necessidades da população marginalizada durante e após o desastre destacou ainda mais as disparidades existentes, levando a uma crise humanitária que se desenrolou nas semanas e meses seguintes.</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A resposta ao Katrina, inicialmente caótica, foi criticada por sua falta de planejamento e coordenação. Entretanto, ao longo do tempo, Nova Orleans conseguiu implementar um processo de recuperação mais estruturado, incluindo investimentos em infraestrutura e reformas sociais, trazendo aprendizado com a crise e levando à mudanças significativas nas políticas de gestão de desastres na cidade, assim como a criação de novos sistemas de alerta e planejamento de evacuação.</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Por sua vez, Porto Rico enfrentou o furacão Maria em setembro de 2017, sendo a tempestade mais devastadora da década, com danos superiores a 90 bilhões de dólares. A resposta do governo federal foi lenta, fragmentada e insuficiente, e Diana Holland (2019) reconhece as limitações logísticas enfrentadas pela Força-Tarefa Power na reconstrução da rede elétrica, mas confirma que Porto Rico ficou isolado por semanas após o evento, com problemas no abastecimento de água potável, acesso a medicamentos e comunicação básica.</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A gravidade dos efeitos do furacão Maria não pode ser dissociada da condição política de Porto Rico, já que é território colonial dos EUA, a ilha não possui representação plena no Congresso norte-americano e está submetida à Lei PROMESA (2016), que estabeleceu uma Junta de Controle Fiscal com poder para vetar decisões do governo local. De acordo com Guillermo Alvarado (Radio Habana Cuba, 2017), essa estrutura impôs severas restrições orçamentárias em meio à crise humanitária, priorizando pagamentos da dívida externa em detrimento da reconstrução de hospitais, escolas e infraestruturas básicas.</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A crítica ao modelo colonial é aprofundada no artigo de Mimi Sheller (2022), que introduz o conceito de reparações infra estruturais ao afirmar que o colapso em Porto Rico não foi apenas físico, mas histórico, já que segundo a autora, a infraestrutura da ilha sempre refletiu relações de dominação racial e econômica: ela conecta mais aos interesses corporativos dos EUA do que às necessidades vitais da população local, além da chegada de criptoinvestidores após o furacão, os chamados puertopians, interpretada como uma tentativa de privatizar a reconstrução, reforçando exclusões preexistentes em nome da “inovação”.</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No campo da geopolítica, Wilberto Sanchez (2015) argumenta que o realinhamento de Porto Rico ao Comando Sul dos EUA (USSOUTHCOM), em vez do Comando Norte (USNORTHCOM), poderia fortalecer sua capacidade de resposta a desastres, sobretudo em coordenação com o Caribe e América Latina. O atual isolamento estratégico, segundo o autor, compromete não apenas ações de defesa civil, mas também medidas contra o narcotráfico e a crescente presença da China na região.</w:t>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A dimensão ecológica do desastre é examinada por Eric Tohver (2007), que associa a vulnerabilidade estrutural de Nova Orleans à destruição de ecossistemas costeiros, com a construção de diques canalizou os sedimentos do Mississippi para o mar profundo, eliminando áreas naturais de proteção, como manguezais. Por sua vez, a cidade, construída sobre sedimentos instáveis, está afundando progressivamente, tornando-se exemplo de uma civilização que desafia os limites geológicos com infraestrutura precária.</w:t>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sz w:val="24"/>
          <w:szCs w:val="24"/>
          <w:rtl w:val="0"/>
        </w:rPr>
        <w:t xml:space="preserve">Ademais, a comparação internacional proposta por August Nimtz (2015) é contundente: Cuba, apesar de bem mais pobre e isolada economicamente, desenvolveu um modelo de defesa civil robusto e comunitário, que resultou em baixíssimas taxas de mortalidade durante furacões. Essa disparidade revela que recursos financeiros não são garantia de eficiência e que políticas públicas centradas na vida e na solidariedade podem superar as falhas de sistemas governamentais tecnocráticos e excludentes.</w:t>
      </w:r>
    </w:p>
    <w:p w:rsidR="00000000" w:rsidDel="00000000" w:rsidP="00000000" w:rsidRDefault="00000000" w:rsidRPr="00000000" w14:paraId="00000035">
      <w:pPr>
        <w:spacing w:line="360" w:lineRule="auto"/>
        <w:ind w:firstLine="720"/>
        <w:jc w:val="both"/>
        <w:rPr>
          <w:sz w:val="24"/>
          <w:szCs w:val="24"/>
        </w:rPr>
      </w:pPr>
      <w:r w:rsidDel="00000000" w:rsidR="00000000" w:rsidRPr="00000000">
        <w:rPr>
          <w:sz w:val="24"/>
          <w:szCs w:val="24"/>
          <w:rtl w:val="0"/>
        </w:rPr>
        <w:t xml:space="preserve">Diante da análise dos casos de Nova Orleans e Porto Rico, é evidente que a vulnerabilidade frente a desastres não é apenas climática ou técnica, é também profundamente política. A condição colonial de Porto Rico, somada ao racismo estrutural e ao neoliberalismo de desastre evidenciado nos dois contextos, exige da comunidade internacional uma revisão crítica das práticas de gestão de risco, com enfoque em justiça ambiental, soberania infraestrutural e inclusão social. Assim, destaca-se que a construção de planos de ação eficazes depende, antes de tudo, do reconhecimento das raízes históricas que transformam eventos extremos em tragédias humanas.</w:t>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sz w:val="24"/>
          <w:szCs w:val="24"/>
          <w:rtl w:val="0"/>
        </w:rPr>
        <w:t xml:space="preserve">Por fim, a interconexão entre os desastres em Porto Rico e Nova Orleans ilustra a necessidade de uma abordagem global e colaborativa na gestão de desastres, com lições aprendidas em um local podem informar as práticas em outro, enfatizando a importância de um esforço coletivo para enfrentar os desafios apresentados pelos desastres naturais em um mundo cada vez mais vulnerável.</w:t>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8">
      <w:pPr>
        <w:spacing w:line="360" w:lineRule="auto"/>
        <w:jc w:val="both"/>
        <w:rPr>
          <w:b w:val="0"/>
          <w:sz w:val="24"/>
          <w:szCs w:val="24"/>
          <w:vertAlign w:val="baseline"/>
        </w:rPr>
      </w:pPr>
      <w:r w:rsidDel="00000000" w:rsidR="00000000" w:rsidRPr="00000000">
        <w:rPr>
          <w:b w:val="1"/>
          <w:sz w:val="24"/>
          <w:szCs w:val="24"/>
          <w:rtl w:val="0"/>
        </w:rPr>
        <w:t xml:space="preserve">4</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39">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 xml:space="preserve">A disparidade nas políticas públicas sobre desastres nos EUA manifesta-se de forma crítica na alocação de recursos e na implementação de medidas preventivas e de recuperação. Mesmo em localidades onde houve investimento significativo na recuperação, como Nova Orleans, mazelas persistem, evidenciando que a mera aplicação de capital não garante a resolução dos problemas subjacentes. Em contrapartida, em áreas como Porto Rico, a situação é ainda mais crítica devido à combinação de infraestrutura precária, crise econômica preexistente e uma resposta federal considerada lenta e ineficaz.</w:t>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sz w:val="24"/>
          <w:szCs w:val="24"/>
          <w:rtl w:val="0"/>
        </w:rPr>
        <w:t xml:space="preserve">A necessidade de políticas públicas que priorizem a prevenção e a mitigação de riscos é evidente. Investimentos em infraestrutura resiliente, sistemas de alerta precoce e planejamento urbano sustentável são cruciais para reduzir a vulnerabilidade das comunidades e minimizar os impactos dos desastres. Além disso, o estabelecimento de soluções baseadas na natureza (SbN) e o fortalecimento de infraestrutura verde são caminhos a serem seguidos não somente nos Estados Unidos, mas em outras regiões suscetíveis a desastres naturais constantes.</w:t>
      </w:r>
    </w:p>
    <w:p w:rsidR="00000000" w:rsidDel="00000000" w:rsidP="00000000" w:rsidRDefault="00000000" w:rsidRPr="00000000" w14:paraId="0000003C">
      <w:pPr>
        <w:spacing w:line="360" w:lineRule="auto"/>
        <w:ind w:firstLine="709"/>
        <w:jc w:val="both"/>
        <w:rPr>
          <w:sz w:val="24"/>
          <w:szCs w:val="24"/>
        </w:rPr>
      </w:pPr>
      <w:r w:rsidDel="00000000" w:rsidR="00000000" w:rsidRPr="00000000">
        <w:rPr>
          <w:sz w:val="24"/>
          <w:szCs w:val="24"/>
          <w:rtl w:val="0"/>
        </w:rPr>
        <w:t xml:space="preserve">Em conclusão, a análise dos desastres naturais nos EUA revela um quadro de disparidades nas políticas públicas e na responsabilidade estatal, com impactos desproporcionais sobre as comunidades mais vulneráveis. A superação desse quadro exige uma mudança de paradigma, com a adoção de políticas públicas que priorizem a prevenção, a mitigação de riscos, a justiça social e ambiental, e o engajamento firme com a agenda climática global. A interconexão entre os desastres em Porto Rico e Nova Orleans ilustra a necessidade de uma abordagem global e colaborativa na gestão de desastres.</w:t>
      </w:r>
    </w:p>
    <w:p w:rsidR="00000000" w:rsidDel="00000000" w:rsidP="00000000" w:rsidRDefault="00000000" w:rsidRPr="00000000" w14:paraId="0000003D">
      <w:pPr>
        <w:spacing w:line="360" w:lineRule="auto"/>
        <w:jc w:val="center"/>
        <w:rPr>
          <w:sz w:val="24"/>
          <w:szCs w:val="24"/>
        </w:rPr>
      </w:pPr>
      <w:r w:rsidDel="00000000" w:rsidR="00000000" w:rsidRPr="00000000">
        <w:rPr>
          <w:rtl w:val="0"/>
        </w:rPr>
      </w:r>
    </w:p>
    <w:p w:rsidR="00000000" w:rsidDel="00000000" w:rsidP="00000000" w:rsidRDefault="00000000" w:rsidRPr="00000000" w14:paraId="0000003E">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3F">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0">
      <w:pPr>
        <w:spacing w:after="200" w:lineRule="auto"/>
        <w:jc w:val="both"/>
        <w:rPr>
          <w:sz w:val="24"/>
          <w:szCs w:val="24"/>
        </w:rPr>
      </w:pPr>
      <w:r w:rsidDel="00000000" w:rsidR="00000000" w:rsidRPr="00000000">
        <w:rPr>
          <w:sz w:val="24"/>
          <w:szCs w:val="24"/>
          <w:rtl w:val="0"/>
        </w:rPr>
        <w:t xml:space="preserve">ALVARADO, G. </w:t>
      </w:r>
      <w:r w:rsidDel="00000000" w:rsidR="00000000" w:rsidRPr="00000000">
        <w:rPr>
          <w:b w:val="1"/>
          <w:sz w:val="24"/>
          <w:szCs w:val="24"/>
          <w:rtl w:val="0"/>
        </w:rPr>
        <w:t xml:space="preserve">Porto Rico em falência abatido por Maria</w:t>
      </w:r>
      <w:r w:rsidDel="00000000" w:rsidR="00000000" w:rsidRPr="00000000">
        <w:rPr>
          <w:sz w:val="24"/>
          <w:szCs w:val="24"/>
          <w:rtl w:val="0"/>
        </w:rPr>
        <w:t xml:space="preserve">. Radio Habana Cuba, 27 set. 2017. Disponível em: </w:t>
      </w:r>
      <w:hyperlink r:id="rId8">
        <w:r w:rsidDel="00000000" w:rsidR="00000000" w:rsidRPr="00000000">
          <w:rPr>
            <w:color w:val="1155cc"/>
            <w:sz w:val="24"/>
            <w:szCs w:val="24"/>
            <w:u w:val="single"/>
            <w:rtl w:val="0"/>
          </w:rPr>
          <w:t xml:space="preserve">https://www.radiohc.cu/especiales/comentarios/142612-porto-rico-em-falencia-abatido-por-maria</w:t>
        </w:r>
      </w:hyperlink>
      <w:r w:rsidDel="00000000" w:rsidR="00000000" w:rsidRPr="00000000">
        <w:rPr>
          <w:sz w:val="24"/>
          <w:szCs w:val="24"/>
          <w:rtl w:val="0"/>
        </w:rPr>
        <w:t xml:space="preserve">. Acesso em: 05 jul. 2025.</w:t>
      </w:r>
    </w:p>
    <w:p w:rsidR="00000000" w:rsidDel="00000000" w:rsidP="00000000" w:rsidRDefault="00000000" w:rsidRPr="00000000" w14:paraId="00000041">
      <w:pPr>
        <w:spacing w:after="200" w:lineRule="auto"/>
        <w:jc w:val="both"/>
        <w:rPr>
          <w:sz w:val="24"/>
          <w:szCs w:val="24"/>
        </w:rPr>
      </w:pPr>
      <w:r w:rsidDel="00000000" w:rsidR="00000000" w:rsidRPr="00000000">
        <w:rPr>
          <w:sz w:val="24"/>
          <w:szCs w:val="24"/>
          <w:rtl w:val="0"/>
        </w:rPr>
        <w:t xml:space="preserve">CASTRO, A.; LÓPEZ-MARRERO, T. Allá viene el temporal: Major hurricanes in Puerto Rico between 1851 and 2019. </w:t>
      </w:r>
      <w:r w:rsidDel="00000000" w:rsidR="00000000" w:rsidRPr="00000000">
        <w:rPr>
          <w:b w:val="1"/>
          <w:sz w:val="24"/>
          <w:szCs w:val="24"/>
          <w:rtl w:val="0"/>
        </w:rPr>
        <w:t xml:space="preserve">Caribbean Geography, </w:t>
      </w:r>
      <w:r w:rsidDel="00000000" w:rsidR="00000000" w:rsidRPr="00000000">
        <w:rPr>
          <w:sz w:val="24"/>
          <w:szCs w:val="24"/>
          <w:rtl w:val="0"/>
        </w:rPr>
        <w:t xml:space="preserve">v. 24, p. 24-39, 2019.</w:t>
      </w:r>
    </w:p>
    <w:p w:rsidR="00000000" w:rsidDel="00000000" w:rsidP="00000000" w:rsidRDefault="00000000" w:rsidRPr="00000000" w14:paraId="00000042">
      <w:pPr>
        <w:spacing w:after="200" w:lineRule="auto"/>
        <w:jc w:val="both"/>
        <w:rPr>
          <w:sz w:val="24"/>
          <w:szCs w:val="24"/>
        </w:rPr>
      </w:pPr>
      <w:r w:rsidDel="00000000" w:rsidR="00000000" w:rsidRPr="00000000">
        <w:rPr>
          <w:sz w:val="24"/>
          <w:szCs w:val="24"/>
          <w:rtl w:val="0"/>
        </w:rPr>
        <w:t xml:space="preserve">COUTINHO, G. C. B. </w:t>
      </w:r>
      <w:r w:rsidDel="00000000" w:rsidR="00000000" w:rsidRPr="00000000">
        <w:rPr>
          <w:b w:val="1"/>
          <w:sz w:val="24"/>
          <w:szCs w:val="24"/>
          <w:rtl w:val="0"/>
        </w:rPr>
        <w:t xml:space="preserve">O impacto causado pelo Furacão Katrina na atividade turística no Bairro Francês, Nova Orleans – EUA</w:t>
      </w:r>
      <w:r w:rsidDel="00000000" w:rsidR="00000000" w:rsidRPr="00000000">
        <w:rPr>
          <w:sz w:val="24"/>
          <w:szCs w:val="24"/>
          <w:rtl w:val="0"/>
        </w:rPr>
        <w:t xml:space="preserve">. Orientadora: Dra. Iara Lúcia Gomes Brasileiro. 2007. 47 f. Monografia (Especialização) - Curso de Especialização em Turismo e Desenvolvimento Sustentável, Universidade de Brasília, Brasília, 2007. </w:t>
      </w:r>
    </w:p>
    <w:p w:rsidR="00000000" w:rsidDel="00000000" w:rsidP="00000000" w:rsidRDefault="00000000" w:rsidRPr="00000000" w14:paraId="00000043">
      <w:pPr>
        <w:spacing w:after="200" w:lineRule="auto"/>
        <w:jc w:val="both"/>
        <w:rPr>
          <w:sz w:val="24"/>
          <w:szCs w:val="24"/>
        </w:rPr>
      </w:pPr>
      <w:r w:rsidDel="00000000" w:rsidR="00000000" w:rsidRPr="00000000">
        <w:rPr>
          <w:sz w:val="24"/>
          <w:szCs w:val="24"/>
          <w:rtl w:val="0"/>
        </w:rPr>
        <w:t xml:space="preserve">DEPARTAMENTO DE CENSO DO ESTADOS UNIDOS. “Hispanic or Latino Origin” by Specific Origin. </w:t>
      </w:r>
      <w:r w:rsidDel="00000000" w:rsidR="00000000" w:rsidRPr="00000000">
        <w:rPr>
          <w:b w:val="1"/>
          <w:sz w:val="24"/>
          <w:szCs w:val="24"/>
          <w:rtl w:val="0"/>
        </w:rPr>
        <w:t xml:space="preserve">American Community Survey, </w:t>
      </w:r>
      <w:r w:rsidDel="00000000" w:rsidR="00000000" w:rsidRPr="00000000">
        <w:rPr>
          <w:sz w:val="24"/>
          <w:szCs w:val="24"/>
          <w:rtl w:val="0"/>
        </w:rPr>
        <w:t xml:space="preserve">2020. Disponível em: </w:t>
      </w:r>
      <w:hyperlink r:id="rId9">
        <w:r w:rsidDel="00000000" w:rsidR="00000000" w:rsidRPr="00000000">
          <w:rPr>
            <w:color w:val="1155cc"/>
            <w:sz w:val="24"/>
            <w:szCs w:val="24"/>
            <w:u w:val="single"/>
            <w:rtl w:val="0"/>
          </w:rPr>
          <w:t xml:space="preserve">https://data.census.gov/table/ACSDT1Y2022.B03001?q=B03001</w:t>
        </w:r>
      </w:hyperlink>
      <w:r w:rsidDel="00000000" w:rsidR="00000000" w:rsidRPr="00000000">
        <w:rPr>
          <w:sz w:val="24"/>
          <w:szCs w:val="24"/>
          <w:rtl w:val="0"/>
        </w:rPr>
        <w:t xml:space="preserve">. Acesso em: 4 jul. 2025.</w:t>
      </w:r>
    </w:p>
    <w:p w:rsidR="00000000" w:rsidDel="00000000" w:rsidP="00000000" w:rsidRDefault="00000000" w:rsidRPr="00000000" w14:paraId="00000044">
      <w:pPr>
        <w:spacing w:after="200" w:lineRule="auto"/>
        <w:jc w:val="both"/>
        <w:rPr>
          <w:sz w:val="24"/>
          <w:szCs w:val="24"/>
        </w:rPr>
      </w:pPr>
      <w:r w:rsidDel="00000000" w:rsidR="00000000" w:rsidRPr="00000000">
        <w:rPr>
          <w:sz w:val="24"/>
          <w:szCs w:val="24"/>
          <w:rtl w:val="0"/>
        </w:rPr>
        <w:t xml:space="preserve">DONAHUE, M. C. Ajuda Humanitária Interna: Nova Orleans. </w:t>
      </w:r>
      <w:r w:rsidDel="00000000" w:rsidR="00000000" w:rsidRPr="00000000">
        <w:rPr>
          <w:b w:val="1"/>
          <w:sz w:val="24"/>
          <w:szCs w:val="24"/>
          <w:rtl w:val="0"/>
        </w:rPr>
        <w:t xml:space="preserve">Military Review</w:t>
      </w:r>
      <w:r w:rsidDel="00000000" w:rsidR="00000000" w:rsidRPr="00000000">
        <w:rPr>
          <w:sz w:val="24"/>
          <w:szCs w:val="24"/>
          <w:rtl w:val="0"/>
        </w:rPr>
        <w:t xml:space="preserve">, p. 19-29, 2008. </w:t>
      </w:r>
    </w:p>
    <w:p w:rsidR="00000000" w:rsidDel="00000000" w:rsidP="00000000" w:rsidRDefault="00000000" w:rsidRPr="00000000" w14:paraId="00000045">
      <w:pPr>
        <w:spacing w:after="200" w:lineRule="auto"/>
        <w:jc w:val="both"/>
        <w:rPr>
          <w:sz w:val="24"/>
          <w:szCs w:val="24"/>
        </w:rPr>
      </w:pPr>
      <w:r w:rsidDel="00000000" w:rsidR="00000000" w:rsidRPr="00000000">
        <w:rPr>
          <w:sz w:val="24"/>
          <w:szCs w:val="24"/>
          <w:rtl w:val="0"/>
        </w:rPr>
        <w:t xml:space="preserve">DE FREITAS, C. M. Desastres e icebergs: precisamos ir além. </w:t>
      </w:r>
      <w:r w:rsidDel="00000000" w:rsidR="00000000" w:rsidRPr="00000000">
        <w:rPr>
          <w:b w:val="1"/>
          <w:sz w:val="24"/>
          <w:szCs w:val="24"/>
          <w:rtl w:val="0"/>
        </w:rPr>
        <w:t xml:space="preserve">Cadernos de Saúde Pública</w:t>
      </w:r>
      <w:r w:rsidDel="00000000" w:rsidR="00000000" w:rsidRPr="00000000">
        <w:rPr>
          <w:sz w:val="24"/>
          <w:szCs w:val="24"/>
          <w:rtl w:val="0"/>
        </w:rPr>
        <w:t xml:space="preserve">, 2023. </w:t>
      </w:r>
    </w:p>
    <w:p w:rsidR="00000000" w:rsidDel="00000000" w:rsidP="00000000" w:rsidRDefault="00000000" w:rsidRPr="00000000" w14:paraId="00000046">
      <w:pPr>
        <w:spacing w:after="200" w:lineRule="auto"/>
        <w:jc w:val="both"/>
        <w:rPr>
          <w:sz w:val="24"/>
          <w:szCs w:val="24"/>
        </w:rPr>
      </w:pPr>
      <w:r w:rsidDel="00000000" w:rsidR="00000000" w:rsidRPr="00000000">
        <w:rPr>
          <w:sz w:val="24"/>
          <w:szCs w:val="24"/>
          <w:rtl w:val="0"/>
        </w:rPr>
        <w:t xml:space="preserve">Federal Emergency Management Agency (FEMA). </w:t>
      </w:r>
      <w:r w:rsidDel="00000000" w:rsidR="00000000" w:rsidRPr="00000000">
        <w:rPr>
          <w:b w:val="1"/>
          <w:sz w:val="24"/>
          <w:szCs w:val="24"/>
          <w:rtl w:val="0"/>
        </w:rPr>
        <w:t xml:space="preserve">Hurricanes Irma and Maria in Puerto Rico: Building Performance Observations, Recommendations, and Technical Guidance</w:t>
      </w:r>
      <w:r w:rsidDel="00000000" w:rsidR="00000000" w:rsidRPr="00000000">
        <w:rPr>
          <w:sz w:val="24"/>
          <w:szCs w:val="24"/>
          <w:rtl w:val="0"/>
        </w:rPr>
        <w:t xml:space="preserve">. MITIGATION ASSESSMENT TEAM REPORT.</w:t>
      </w:r>
      <w:r w:rsidDel="00000000" w:rsidR="00000000" w:rsidRPr="00000000">
        <w:rPr>
          <w:b w:val="1"/>
          <w:sz w:val="24"/>
          <w:szCs w:val="24"/>
          <w:rtl w:val="0"/>
        </w:rPr>
        <w:t xml:space="preserve"> </w:t>
      </w:r>
      <w:r w:rsidDel="00000000" w:rsidR="00000000" w:rsidRPr="00000000">
        <w:rPr>
          <w:sz w:val="24"/>
          <w:szCs w:val="24"/>
          <w:rtl w:val="0"/>
        </w:rPr>
        <w:t xml:space="preserve">2018. </w:t>
      </w:r>
    </w:p>
    <w:p w:rsidR="00000000" w:rsidDel="00000000" w:rsidP="00000000" w:rsidRDefault="00000000" w:rsidRPr="00000000" w14:paraId="00000047">
      <w:pPr>
        <w:spacing w:after="200" w:lineRule="auto"/>
        <w:jc w:val="both"/>
        <w:rPr>
          <w:sz w:val="24"/>
          <w:szCs w:val="24"/>
        </w:rPr>
      </w:pPr>
      <w:r w:rsidDel="00000000" w:rsidR="00000000" w:rsidRPr="00000000">
        <w:rPr>
          <w:sz w:val="24"/>
          <w:szCs w:val="24"/>
          <w:rtl w:val="0"/>
        </w:rPr>
        <w:t xml:space="preserve">FONSECA DE MOURA, S.</w:t>
      </w:r>
      <w:r w:rsidDel="00000000" w:rsidR="00000000" w:rsidRPr="00000000">
        <w:rPr>
          <w:b w:val="1"/>
          <w:sz w:val="24"/>
          <w:szCs w:val="24"/>
          <w:rtl w:val="0"/>
        </w:rPr>
        <w:t xml:space="preserve"> Influência dos furacões no turismo de Porto Rico e República Dominicana.</w:t>
      </w:r>
      <w:r w:rsidDel="00000000" w:rsidR="00000000" w:rsidRPr="00000000">
        <w:rPr>
          <w:sz w:val="24"/>
          <w:szCs w:val="24"/>
          <w:rtl w:val="0"/>
        </w:rPr>
        <w:t xml:space="preserve"> Universidade de Brasília, 2017.</w:t>
      </w:r>
    </w:p>
    <w:p w:rsidR="00000000" w:rsidDel="00000000" w:rsidP="00000000" w:rsidRDefault="00000000" w:rsidRPr="00000000" w14:paraId="00000048">
      <w:pPr>
        <w:spacing w:after="200" w:lineRule="auto"/>
        <w:jc w:val="both"/>
        <w:rPr>
          <w:sz w:val="24"/>
          <w:szCs w:val="24"/>
        </w:rPr>
      </w:pPr>
      <w:r w:rsidDel="00000000" w:rsidR="00000000" w:rsidRPr="00000000">
        <w:rPr>
          <w:sz w:val="24"/>
          <w:szCs w:val="24"/>
          <w:rtl w:val="0"/>
        </w:rPr>
        <w:t xml:space="preserve">GELLER, S. R. </w:t>
      </w:r>
      <w:r w:rsidDel="00000000" w:rsidR="00000000" w:rsidRPr="00000000">
        <w:rPr>
          <w:b w:val="1"/>
          <w:sz w:val="24"/>
          <w:szCs w:val="24"/>
          <w:rtl w:val="0"/>
        </w:rPr>
        <w:t xml:space="preserve">Political Status of Puerto Rico: Brief Background and Recent Developments for Congress.</w:t>
      </w:r>
      <w:r w:rsidDel="00000000" w:rsidR="00000000" w:rsidRPr="00000000">
        <w:rPr>
          <w:sz w:val="24"/>
          <w:szCs w:val="24"/>
          <w:rtl w:val="0"/>
        </w:rPr>
        <w:t xml:space="preserve"> Congressional Research Service, 2017. </w:t>
      </w:r>
    </w:p>
    <w:p w:rsidR="00000000" w:rsidDel="00000000" w:rsidP="00000000" w:rsidRDefault="00000000" w:rsidRPr="00000000" w14:paraId="00000049">
      <w:pPr>
        <w:spacing w:after="200" w:lineRule="auto"/>
        <w:jc w:val="both"/>
        <w:rPr>
          <w:sz w:val="24"/>
          <w:szCs w:val="24"/>
        </w:rPr>
      </w:pPr>
      <w:r w:rsidDel="00000000" w:rsidR="00000000" w:rsidRPr="00000000">
        <w:rPr>
          <w:sz w:val="24"/>
          <w:szCs w:val="24"/>
          <w:rtl w:val="0"/>
        </w:rPr>
        <w:t xml:space="preserve">HOLLAND, D. M. Enfrentando a Tempestade Perfeita: A Engenharia do Exército dos EUA e a Resposta aos Desastres em Porto Rico, 2017. </w:t>
      </w:r>
      <w:r w:rsidDel="00000000" w:rsidR="00000000" w:rsidRPr="00000000">
        <w:rPr>
          <w:b w:val="1"/>
          <w:sz w:val="24"/>
          <w:szCs w:val="24"/>
          <w:rtl w:val="0"/>
        </w:rPr>
        <w:t xml:space="preserve">Military Review, </w:t>
      </w:r>
      <w:r w:rsidDel="00000000" w:rsidR="00000000" w:rsidRPr="00000000">
        <w:rPr>
          <w:sz w:val="24"/>
          <w:szCs w:val="24"/>
          <w:rtl w:val="0"/>
        </w:rPr>
        <w:t xml:space="preserve">2019.</w:t>
      </w:r>
    </w:p>
    <w:p w:rsidR="00000000" w:rsidDel="00000000" w:rsidP="00000000" w:rsidRDefault="00000000" w:rsidRPr="00000000" w14:paraId="0000004A">
      <w:pPr>
        <w:spacing w:after="200" w:lineRule="auto"/>
        <w:jc w:val="both"/>
        <w:rPr>
          <w:sz w:val="24"/>
          <w:szCs w:val="24"/>
        </w:rPr>
      </w:pPr>
      <w:r w:rsidDel="00000000" w:rsidR="00000000" w:rsidRPr="00000000">
        <w:rPr>
          <w:sz w:val="24"/>
          <w:szCs w:val="24"/>
          <w:rtl w:val="0"/>
        </w:rPr>
        <w:t xml:space="preserve">NIMTZ, A. FENÔMENOS NATURAIS VERSUS FENÔMENOS SOCIAIS: CUBA E AS LIÇÕES DO KATRINA. </w:t>
      </w:r>
      <w:r w:rsidDel="00000000" w:rsidR="00000000" w:rsidRPr="00000000">
        <w:rPr>
          <w:b w:val="1"/>
          <w:sz w:val="24"/>
          <w:szCs w:val="24"/>
          <w:rtl w:val="0"/>
        </w:rPr>
        <w:t xml:space="preserve">Cadernos do CEAS: Revista crítica de humanidades</w:t>
      </w:r>
      <w:r w:rsidDel="00000000" w:rsidR="00000000" w:rsidRPr="00000000">
        <w:rPr>
          <w:sz w:val="24"/>
          <w:szCs w:val="24"/>
          <w:rtl w:val="0"/>
        </w:rPr>
        <w:t xml:space="preserve">, Salvador, BA, Brasil, n. 225, p. 07–22, 2016.</w:t>
      </w:r>
    </w:p>
    <w:p w:rsidR="00000000" w:rsidDel="00000000" w:rsidP="00000000" w:rsidRDefault="00000000" w:rsidRPr="00000000" w14:paraId="0000004B">
      <w:pPr>
        <w:spacing w:after="200" w:lineRule="auto"/>
        <w:jc w:val="both"/>
        <w:rPr>
          <w:sz w:val="24"/>
          <w:szCs w:val="24"/>
        </w:rPr>
      </w:pPr>
      <w:r w:rsidDel="00000000" w:rsidR="00000000" w:rsidRPr="00000000">
        <w:rPr>
          <w:sz w:val="24"/>
          <w:szCs w:val="24"/>
          <w:rtl w:val="0"/>
        </w:rPr>
        <w:t xml:space="preserve">NOVA ORLEANS. </w:t>
      </w:r>
      <w:r w:rsidDel="00000000" w:rsidR="00000000" w:rsidRPr="00000000">
        <w:rPr>
          <w:b w:val="1"/>
          <w:sz w:val="24"/>
          <w:szCs w:val="24"/>
          <w:rtl w:val="0"/>
        </w:rPr>
        <w:t xml:space="preserve">New Orleans Community Profile.</w:t>
      </w:r>
      <w:r w:rsidDel="00000000" w:rsidR="00000000" w:rsidRPr="00000000">
        <w:rPr>
          <w:sz w:val="24"/>
          <w:szCs w:val="24"/>
          <w:rtl w:val="0"/>
        </w:rPr>
        <w:t xml:space="preserve"> Disponível em: </w:t>
      </w:r>
      <w:hyperlink r:id="rId10">
        <w:r w:rsidDel="00000000" w:rsidR="00000000" w:rsidRPr="00000000">
          <w:rPr>
            <w:color w:val="1155cc"/>
            <w:sz w:val="24"/>
            <w:szCs w:val="24"/>
            <w:u w:val="single"/>
            <w:rtl w:val="0"/>
          </w:rPr>
          <w:t xml:space="preserve">https://ready.nola.gov/hazard-mitigation/new-orleans-profile/</w:t>
        </w:r>
      </w:hyperlink>
      <w:r w:rsidDel="00000000" w:rsidR="00000000" w:rsidRPr="00000000">
        <w:rPr>
          <w:sz w:val="24"/>
          <w:szCs w:val="24"/>
          <w:rtl w:val="0"/>
        </w:rPr>
        <w:t xml:space="preserve">. Acesso em: 4 jul. 2025.</w:t>
      </w:r>
    </w:p>
    <w:p w:rsidR="00000000" w:rsidDel="00000000" w:rsidP="00000000" w:rsidRDefault="00000000" w:rsidRPr="00000000" w14:paraId="0000004C">
      <w:pPr>
        <w:spacing w:after="200" w:lineRule="auto"/>
        <w:jc w:val="both"/>
        <w:rPr>
          <w:sz w:val="24"/>
          <w:szCs w:val="24"/>
        </w:rPr>
      </w:pPr>
      <w:r w:rsidDel="00000000" w:rsidR="00000000" w:rsidRPr="00000000">
        <w:rPr>
          <w:sz w:val="24"/>
          <w:szCs w:val="24"/>
          <w:rtl w:val="0"/>
        </w:rPr>
        <w:t xml:space="preserve">ROGERS, J.D. Development of the New Orleans Flood Protection System prior to Hurricane Katrina. </w:t>
      </w:r>
      <w:r w:rsidDel="00000000" w:rsidR="00000000" w:rsidRPr="00000000">
        <w:rPr>
          <w:b w:val="1"/>
          <w:sz w:val="24"/>
          <w:szCs w:val="24"/>
          <w:rtl w:val="0"/>
        </w:rPr>
        <w:t xml:space="preserve">Journal of Geotechnical and Geoenvironmental Engineering</w:t>
      </w:r>
      <w:r w:rsidDel="00000000" w:rsidR="00000000" w:rsidRPr="00000000">
        <w:rPr>
          <w:sz w:val="24"/>
          <w:szCs w:val="24"/>
          <w:rtl w:val="0"/>
        </w:rPr>
        <w:t xml:space="preserve">, p. 602-617, 2008. </w:t>
      </w:r>
    </w:p>
    <w:p w:rsidR="00000000" w:rsidDel="00000000" w:rsidP="00000000" w:rsidRDefault="00000000" w:rsidRPr="00000000" w14:paraId="0000004D">
      <w:pPr>
        <w:spacing w:after="200" w:lineRule="auto"/>
        <w:jc w:val="both"/>
        <w:rPr>
          <w:sz w:val="24"/>
          <w:szCs w:val="24"/>
        </w:rPr>
      </w:pPr>
      <w:r w:rsidDel="00000000" w:rsidR="00000000" w:rsidRPr="00000000">
        <w:rPr>
          <w:sz w:val="24"/>
          <w:szCs w:val="24"/>
          <w:rtl w:val="0"/>
        </w:rPr>
        <w:t xml:space="preserve">SANCHEZ, W. Realinhando Porto Rico: O Plano de Comando Unificado Sob a Ótica da Competição Estratégica com a China. </w:t>
      </w:r>
      <w:r w:rsidDel="00000000" w:rsidR="00000000" w:rsidRPr="00000000">
        <w:rPr>
          <w:b w:val="1"/>
          <w:sz w:val="24"/>
          <w:szCs w:val="24"/>
          <w:rtl w:val="0"/>
        </w:rPr>
        <w:t xml:space="preserve">Revista Profissional da Força Aérea dos EUA</w:t>
      </w:r>
      <w:r w:rsidDel="00000000" w:rsidR="00000000" w:rsidRPr="00000000">
        <w:rPr>
          <w:sz w:val="24"/>
          <w:szCs w:val="24"/>
          <w:rtl w:val="0"/>
        </w:rPr>
        <w:t xml:space="preserve">, n.3, p. 117-139, 2022. </w:t>
      </w:r>
    </w:p>
    <w:p w:rsidR="00000000" w:rsidDel="00000000" w:rsidP="00000000" w:rsidRDefault="00000000" w:rsidRPr="00000000" w14:paraId="0000004E">
      <w:pPr>
        <w:spacing w:after="200" w:lineRule="auto"/>
        <w:jc w:val="both"/>
        <w:rPr>
          <w:sz w:val="24"/>
          <w:szCs w:val="24"/>
        </w:rPr>
      </w:pPr>
      <w:r w:rsidDel="00000000" w:rsidR="00000000" w:rsidRPr="00000000">
        <w:rPr>
          <w:sz w:val="24"/>
          <w:szCs w:val="24"/>
          <w:rtl w:val="0"/>
        </w:rPr>
        <w:t xml:space="preserve">SHELLER, M.</w:t>
      </w:r>
      <w:r w:rsidDel="00000000" w:rsidR="00000000" w:rsidRPr="00000000">
        <w:rPr>
          <w:b w:val="1"/>
          <w:sz w:val="24"/>
          <w:szCs w:val="24"/>
          <w:rtl w:val="0"/>
        </w:rPr>
        <w:t xml:space="preserve"> </w:t>
      </w:r>
      <w:r w:rsidDel="00000000" w:rsidR="00000000" w:rsidRPr="00000000">
        <w:rPr>
          <w:sz w:val="24"/>
          <w:szCs w:val="24"/>
          <w:rtl w:val="0"/>
        </w:rPr>
        <w:t xml:space="preserve">Reparações infraestruturais: reconcebendo a justiça restaurativa no Haiti e em Porto Rico. </w:t>
      </w:r>
      <w:r w:rsidDel="00000000" w:rsidR="00000000" w:rsidRPr="00000000">
        <w:rPr>
          <w:b w:val="1"/>
          <w:sz w:val="24"/>
          <w:szCs w:val="24"/>
          <w:rtl w:val="0"/>
        </w:rPr>
        <w:t xml:space="preserve">Revista Brasileira de Sociologia</w:t>
      </w:r>
      <w:r w:rsidDel="00000000" w:rsidR="00000000" w:rsidRPr="00000000">
        <w:rPr>
          <w:sz w:val="24"/>
          <w:szCs w:val="24"/>
          <w:rtl w:val="0"/>
        </w:rPr>
        <w:t xml:space="preserve">, v. 11, n. 28, 2023.</w:t>
      </w:r>
    </w:p>
    <w:p w:rsidR="00000000" w:rsidDel="00000000" w:rsidP="00000000" w:rsidRDefault="00000000" w:rsidRPr="00000000" w14:paraId="0000004F">
      <w:pPr>
        <w:spacing w:after="200" w:lineRule="auto"/>
        <w:jc w:val="both"/>
        <w:rPr>
          <w:sz w:val="24"/>
          <w:szCs w:val="24"/>
        </w:rPr>
      </w:pPr>
      <w:r w:rsidDel="00000000" w:rsidR="00000000" w:rsidRPr="00000000">
        <w:rPr>
          <w:sz w:val="24"/>
          <w:szCs w:val="24"/>
          <w:rtl w:val="0"/>
        </w:rPr>
        <w:t xml:space="preserve">TOHVER, E. Para não morrer na praia. </w:t>
      </w:r>
      <w:r w:rsidDel="00000000" w:rsidR="00000000" w:rsidRPr="00000000">
        <w:rPr>
          <w:b w:val="1"/>
          <w:sz w:val="24"/>
          <w:szCs w:val="24"/>
          <w:rtl w:val="0"/>
        </w:rPr>
        <w:t xml:space="preserve">Revista Página22, </w:t>
      </w:r>
      <w:r w:rsidDel="00000000" w:rsidR="00000000" w:rsidRPr="00000000">
        <w:rPr>
          <w:sz w:val="24"/>
          <w:szCs w:val="24"/>
          <w:rtl w:val="0"/>
        </w:rPr>
        <w:t xml:space="preserve">p. 61-63,</w:t>
      </w:r>
      <w:r w:rsidDel="00000000" w:rsidR="00000000" w:rsidRPr="00000000">
        <w:rPr>
          <w:b w:val="1"/>
          <w:sz w:val="24"/>
          <w:szCs w:val="24"/>
          <w:rtl w:val="0"/>
        </w:rPr>
        <w:t xml:space="preserve"> </w:t>
      </w:r>
      <w:r w:rsidDel="00000000" w:rsidR="00000000" w:rsidRPr="00000000">
        <w:rPr>
          <w:sz w:val="24"/>
          <w:szCs w:val="24"/>
          <w:rtl w:val="0"/>
        </w:rPr>
        <w:t xml:space="preserve">2006.</w:t>
      </w:r>
    </w:p>
    <w:sectPr>
      <w:headerReference r:id="rId11"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Relações Internacionais pela UEMA. E-mail: </w:t>
      </w:r>
      <w:hyperlink r:id="rId1">
        <w:r w:rsidDel="00000000" w:rsidR="00000000" w:rsidRPr="00000000">
          <w:rPr>
            <w:color w:val="1155cc"/>
            <w:sz w:val="20"/>
            <w:szCs w:val="20"/>
            <w:u w:val="single"/>
            <w:rtl w:val="0"/>
          </w:rPr>
          <w:t xml:space="preserve">marcela.vitoria1710@gmail.com</w:t>
        </w:r>
      </w:hyperlink>
      <w:r w:rsidDel="00000000" w:rsidR="00000000" w:rsidRPr="00000000">
        <w:rPr>
          <w:sz w:val="20"/>
          <w:szCs w:val="20"/>
          <w:rtl w:val="0"/>
        </w:rPr>
        <w:t xml:space="preserve">. </w:t>
      </w:r>
    </w:p>
  </w:footnote>
  <w:footnote w:id="1">
    <w:p w:rsidR="00000000" w:rsidDel="00000000" w:rsidP="00000000" w:rsidRDefault="00000000" w:rsidRPr="00000000" w14:paraId="0000005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Doutorando em Desenvolvimento e Meio Ambiente pela UFMA. E-mail: </w:t>
      </w:r>
      <w:hyperlink r:id="rId2">
        <w:r w:rsidDel="00000000" w:rsidR="00000000" w:rsidRPr="00000000">
          <w:rPr>
            <w:color w:val="1155cc"/>
            <w:sz w:val="20"/>
            <w:szCs w:val="20"/>
            <w:u w:val="single"/>
            <w:rtl w:val="0"/>
          </w:rPr>
          <w:t xml:space="preserve">fabio.siqueira@discente.ufma.br</w:t>
        </w:r>
      </w:hyperlink>
      <w:r w:rsidDel="00000000" w:rsidR="00000000" w:rsidRPr="00000000">
        <w:rPr>
          <w:sz w:val="20"/>
          <w:szCs w:val="20"/>
          <w:rtl w:val="0"/>
        </w:rPr>
        <w:t xml:space="preserve">.</w:t>
      </w:r>
    </w:p>
    <w:p w:rsidR="00000000" w:rsidDel="00000000" w:rsidP="00000000" w:rsidRDefault="00000000" w:rsidRPr="00000000" w14:paraId="00000053">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hyperlink" Target="https://ready.nola.gov/hazard-mitigation/new-orleans-profile/" TargetMode="External"/><Relationship Id="rId9" Type="http://schemas.openxmlformats.org/officeDocument/2006/relationships/hyperlink" Target="https://data.census.gov/table/ACSDT1Y2022.B03001?q=B03001"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radiohc.cu/especiales/comentarios/142612-porto-rico-em-falencia-abatido-por-mari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marcela.vitoria1710@gmail.com" TargetMode="External"/><Relationship Id="rId2" Type="http://schemas.openxmlformats.org/officeDocument/2006/relationships/hyperlink" Target="mailto:fabio.siqueira@discen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bBC/bG4n1bLcQXFYrPjEnThJ/A==">CgMxLjA4AHIhMVNsT3d6X1VfVENuN2lJVE1PTVNKb1QwSzctSUV0Ujhw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