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B27316">
      <w:pPr>
        <w:spacing w:line="360" w:lineRule="auto"/>
        <w:ind w:firstLineChars="50" w:firstLine="120"/>
        <w:jc w:val="center"/>
        <w:rPr>
          <w:rFonts w:ascii="Arial" w:hAnsi="Arial" w:cs="Arial"/>
          <w:b/>
          <w:sz w:val="24"/>
          <w:szCs w:val="24"/>
        </w:rPr>
      </w:pPr>
      <w:bookmarkStart w:id="0" w:name="_GoBack"/>
      <w:bookmarkEnd w:id="0"/>
      <w:r>
        <w:rPr>
          <w:rFonts w:ascii="Arial" w:hAnsi="Arial" w:cs="Arial"/>
          <w:b/>
          <w:sz w:val="24"/>
          <w:szCs w:val="24"/>
        </w:rPr>
        <w:t xml:space="preserve">ENTRE RESISTÊNCIAS E CONQUISTAS: o protagonismo negro e o papel do </w:t>
      </w:r>
      <w:r>
        <w:rPr>
          <w:rFonts w:ascii="Arial" w:hAnsi="Arial" w:cs="Arial"/>
          <w:b/>
          <w:sz w:val="24"/>
          <w:szCs w:val="24"/>
        </w:rPr>
        <w:t>CEDENPA</w:t>
      </w:r>
      <w:r>
        <w:rPr>
          <w:rFonts w:ascii="Arial" w:hAnsi="Arial" w:cs="Arial"/>
          <w:b/>
          <w:sz w:val="24"/>
          <w:szCs w:val="24"/>
        </w:rPr>
        <w:t xml:space="preserve"> na promoção d</w:t>
      </w:r>
      <w:r>
        <w:rPr>
          <w:rFonts w:ascii="Arial" w:hAnsi="Arial" w:cs="Arial"/>
          <w:b/>
          <w:sz w:val="24"/>
          <w:szCs w:val="24"/>
        </w:rPr>
        <w:t>e</w:t>
      </w:r>
      <w:r>
        <w:rPr>
          <w:rFonts w:ascii="Arial" w:hAnsi="Arial" w:cs="Arial"/>
          <w:b/>
          <w:sz w:val="24"/>
          <w:szCs w:val="24"/>
        </w:rPr>
        <w:t xml:space="preserve"> justiça </w:t>
      </w:r>
      <w:r>
        <w:rPr>
          <w:rFonts w:ascii="Arial" w:hAnsi="Arial" w:cs="Arial"/>
          <w:b/>
          <w:sz w:val="24"/>
          <w:szCs w:val="24"/>
        </w:rPr>
        <w:t>sociorr</w:t>
      </w:r>
      <w:r>
        <w:rPr>
          <w:rFonts w:ascii="Arial" w:hAnsi="Arial" w:cs="Arial"/>
          <w:b/>
          <w:sz w:val="24"/>
          <w:szCs w:val="24"/>
        </w:rPr>
        <w:t>acial.</w:t>
      </w:r>
    </w:p>
    <w:p w:rsidR="00000000" w:rsidRDefault="00B27316">
      <w:pPr>
        <w:spacing w:line="360" w:lineRule="auto"/>
        <w:ind w:firstLineChars="50" w:firstLine="120"/>
        <w:jc w:val="center"/>
        <w:rPr>
          <w:rFonts w:ascii="Arial" w:hAnsi="Arial" w:cs="Arial"/>
          <w:b/>
          <w:sz w:val="24"/>
          <w:szCs w:val="24"/>
        </w:rPr>
      </w:pPr>
    </w:p>
    <w:p w:rsidR="00000000" w:rsidRDefault="00B27316">
      <w:pPr>
        <w:spacing w:line="360" w:lineRule="auto"/>
        <w:ind w:firstLineChars="2150" w:firstLine="5160"/>
        <w:jc w:val="both"/>
        <w:rPr>
          <w:rFonts w:ascii="Arial" w:hAnsi="Arial" w:cs="Arial"/>
          <w:bCs/>
          <w:sz w:val="24"/>
          <w:szCs w:val="24"/>
        </w:rPr>
      </w:pPr>
      <w:r>
        <w:rPr>
          <w:rFonts w:ascii="Arial" w:hAnsi="Arial" w:cs="Arial"/>
          <w:bCs/>
          <w:sz w:val="24"/>
          <w:szCs w:val="24"/>
        </w:rPr>
        <w:t>Aísha Cristina Malcher de Sousa</w:t>
      </w:r>
      <w:r>
        <w:rPr>
          <w:rFonts w:ascii="Arial" w:hAnsi="Arial" w:cs="Arial"/>
          <w:bCs/>
          <w:sz w:val="24"/>
          <w:szCs w:val="24"/>
          <w:vertAlign w:val="superscript"/>
        </w:rPr>
        <w:t>1</w:t>
      </w:r>
    </w:p>
    <w:p w:rsidR="00000000" w:rsidRDefault="00B27316">
      <w:pPr>
        <w:spacing w:line="360" w:lineRule="auto"/>
        <w:ind w:left="2835"/>
        <w:jc w:val="both"/>
        <w:rPr>
          <w:rFonts w:ascii="Arial" w:hAnsi="Arial" w:cs="Arial"/>
          <w:bCs/>
          <w:sz w:val="24"/>
          <w:szCs w:val="24"/>
          <w:vertAlign w:val="superscript"/>
        </w:rPr>
      </w:pPr>
      <w:r>
        <w:rPr>
          <w:rFonts w:ascii="Arial" w:hAnsi="Arial" w:cs="Arial"/>
          <w:bCs/>
          <w:sz w:val="24"/>
          <w:szCs w:val="24"/>
        </w:rPr>
        <w:t xml:space="preserve">                                           Cristina Maria Arêda Oshai</w:t>
      </w:r>
      <w:r>
        <w:rPr>
          <w:rFonts w:ascii="Arial" w:hAnsi="Arial" w:cs="Arial"/>
          <w:bCs/>
          <w:sz w:val="24"/>
          <w:szCs w:val="24"/>
          <w:vertAlign w:val="superscript"/>
        </w:rPr>
        <w:t xml:space="preserve"> 2</w:t>
      </w:r>
    </w:p>
    <w:p w:rsidR="00000000" w:rsidRDefault="00B27316">
      <w:pPr>
        <w:spacing w:line="360" w:lineRule="auto"/>
        <w:ind w:left="2835" w:firstLineChars="1250" w:firstLine="3000"/>
        <w:jc w:val="both"/>
        <w:rPr>
          <w:rFonts w:ascii="Arial" w:hAnsi="Arial" w:cs="Arial"/>
          <w:b/>
          <w:sz w:val="24"/>
          <w:szCs w:val="24"/>
        </w:rPr>
      </w:pPr>
      <w:r>
        <w:rPr>
          <w:rFonts w:ascii="Arial" w:hAnsi="Arial"/>
          <w:bCs/>
          <w:sz w:val="24"/>
          <w:szCs w:val="24"/>
        </w:rPr>
        <w:t xml:space="preserve">Ruth Anne Meire da Silva </w:t>
      </w:r>
      <w:r>
        <w:rPr>
          <w:rFonts w:ascii="Arial" w:hAnsi="Arial" w:cs="Arial"/>
          <w:bCs/>
          <w:sz w:val="24"/>
          <w:szCs w:val="24"/>
          <w:vertAlign w:val="superscript"/>
        </w:rPr>
        <w:t>3</w:t>
      </w:r>
    </w:p>
    <w:p w:rsidR="00000000" w:rsidRDefault="00B27316">
      <w:pPr>
        <w:spacing w:line="240" w:lineRule="auto"/>
        <w:ind w:left="2835"/>
        <w:jc w:val="both"/>
        <w:rPr>
          <w:rFonts w:ascii="Arial" w:hAnsi="Arial" w:cs="Arial"/>
          <w:sz w:val="20"/>
          <w:szCs w:val="20"/>
        </w:rPr>
      </w:pPr>
      <w:r>
        <w:rPr>
          <w:rFonts w:ascii="Arial" w:hAnsi="Arial" w:cs="Arial"/>
          <w:b/>
          <w:sz w:val="20"/>
          <w:szCs w:val="20"/>
        </w:rPr>
        <w:t>Resumo</w:t>
      </w:r>
    </w:p>
    <w:p w:rsidR="00000000" w:rsidRDefault="00B27316">
      <w:pPr>
        <w:spacing w:line="240" w:lineRule="auto"/>
        <w:ind w:left="2880"/>
        <w:jc w:val="both"/>
        <w:rPr>
          <w:rFonts w:ascii="Arial" w:hAnsi="Arial" w:cs="Arial"/>
          <w:color w:val="000000"/>
          <w:sz w:val="20"/>
          <w:szCs w:val="20"/>
        </w:rPr>
      </w:pPr>
      <w:r>
        <w:rPr>
          <w:rFonts w:ascii="Arial" w:hAnsi="Arial" w:cs="Arial"/>
          <w:color w:val="000000"/>
          <w:sz w:val="20"/>
          <w:szCs w:val="20"/>
        </w:rPr>
        <w:t>A he</w:t>
      </w:r>
      <w:r>
        <w:rPr>
          <w:rFonts w:ascii="Arial" w:hAnsi="Arial" w:cs="Arial"/>
          <w:color w:val="000000"/>
          <w:sz w:val="20"/>
          <w:szCs w:val="20"/>
        </w:rPr>
        <w:t>rança escravocrata determina expressivamente a formação socioeconômica e política do Brasil, impactando no acesso às políticas públicas e direitos sociais garantidos legalmente. Sendo assim, o artigo analisa o protagonismo do movimento negro nas lutas soci</w:t>
      </w:r>
      <w:r>
        <w:rPr>
          <w:rFonts w:ascii="Arial" w:hAnsi="Arial" w:cs="Arial"/>
          <w:color w:val="000000"/>
          <w:sz w:val="20"/>
          <w:szCs w:val="20"/>
        </w:rPr>
        <w:t>ais por direitos, justiça e igualdade racial, destacando as contribuições do Centro de Estudos e Defesa do Negro no Pará (CEDENPA), no combate ao racismo, na promoção da igualdade racial e no fortalecimento das culturas negras, potencializando a participaç</w:t>
      </w:r>
      <w:r>
        <w:rPr>
          <w:rFonts w:ascii="Arial" w:hAnsi="Arial" w:cs="Arial"/>
          <w:color w:val="000000"/>
          <w:sz w:val="20"/>
          <w:szCs w:val="20"/>
        </w:rPr>
        <w:t>ão política de indivíduos e coletivos negros em espaços de decisão. O artigo fundamenta-se na pesquisa bibliográfica, documental e de campo, baseando-se na análise de artigos científicos, documentos e observação participante. Conclui-se que, as contribuiçõ</w:t>
      </w:r>
      <w:r>
        <w:rPr>
          <w:rFonts w:ascii="Arial" w:hAnsi="Arial" w:cs="Arial"/>
          <w:color w:val="000000"/>
          <w:sz w:val="20"/>
          <w:szCs w:val="20"/>
        </w:rPr>
        <w:t>es do movimento negro resultam no avanço do processo civilizatório do país, alcançando amplamente a sociedade brasileira.</w:t>
      </w:r>
    </w:p>
    <w:p w:rsidR="00000000" w:rsidRDefault="00B27316">
      <w:pPr>
        <w:pStyle w:val="NormalWeb"/>
        <w:spacing w:before="0" w:beforeAutospacing="0" w:after="0" w:afterAutospacing="0" w:line="15" w:lineRule="atLeast"/>
        <w:ind w:left="2880"/>
        <w:jc w:val="both"/>
        <w:rPr>
          <w:rFonts w:ascii="Arial" w:hAnsi="Arial" w:cs="Arial"/>
          <w:szCs w:val="20"/>
        </w:rPr>
      </w:pPr>
      <w:r>
        <w:rPr>
          <w:rFonts w:ascii="Arial" w:hAnsi="Arial" w:cs="Arial"/>
          <w:b/>
          <w:szCs w:val="20"/>
        </w:rPr>
        <w:t>Palavras-chave</w:t>
      </w:r>
      <w:r>
        <w:rPr>
          <w:rFonts w:ascii="Arial" w:hAnsi="Arial" w:cs="Arial"/>
          <w:szCs w:val="20"/>
        </w:rPr>
        <w:t>:</w:t>
      </w:r>
      <w:r>
        <w:rPr>
          <w:rFonts w:ascii="Arial" w:hAnsi="Arial" w:cs="Arial"/>
          <w:szCs w:val="20"/>
          <w:lang w:val="pt-BR"/>
        </w:rPr>
        <w:t xml:space="preserve"> </w:t>
      </w:r>
      <w:r>
        <w:rPr>
          <w:rFonts w:ascii="Arial" w:hAnsi="Arial" w:cs="Arial"/>
          <w:szCs w:val="20"/>
        </w:rPr>
        <w:t>Movimento negro; CEDENPA; combate ao racismo.</w:t>
      </w:r>
    </w:p>
    <w:p w:rsidR="00000000" w:rsidRDefault="00B27316">
      <w:pPr>
        <w:pStyle w:val="NormalWeb"/>
        <w:spacing w:before="0" w:beforeAutospacing="0" w:after="0" w:afterAutospacing="0" w:line="15" w:lineRule="atLeast"/>
        <w:ind w:left="2880"/>
        <w:jc w:val="both"/>
        <w:rPr>
          <w:rFonts w:ascii="Arial" w:hAnsi="Arial" w:cs="Arial"/>
          <w:szCs w:val="20"/>
          <w:lang w:val="pt-BR"/>
        </w:rPr>
      </w:pPr>
    </w:p>
    <w:p w:rsidR="00000000" w:rsidRDefault="00B27316">
      <w:pPr>
        <w:spacing w:line="240" w:lineRule="auto"/>
        <w:ind w:left="2880"/>
        <w:jc w:val="both"/>
        <w:rPr>
          <w:rFonts w:ascii="Arial" w:hAnsi="Arial" w:cs="Arial"/>
          <w:b/>
          <w:sz w:val="20"/>
          <w:szCs w:val="20"/>
          <w:lang w:val="en-US"/>
        </w:rPr>
      </w:pPr>
      <w:r>
        <w:rPr>
          <w:rFonts w:ascii="Arial" w:hAnsi="Arial" w:cs="Arial"/>
          <w:b/>
          <w:sz w:val="20"/>
          <w:szCs w:val="20"/>
          <w:lang w:val="en-US"/>
        </w:rPr>
        <w:t>Abstract</w:t>
      </w:r>
    </w:p>
    <w:p w:rsidR="00000000" w:rsidRDefault="00B27316">
      <w:pPr>
        <w:spacing w:line="240" w:lineRule="auto"/>
        <w:ind w:left="2880"/>
        <w:jc w:val="both"/>
        <w:rPr>
          <w:rFonts w:ascii="Arial" w:hAnsi="Arial" w:cs="Arial"/>
          <w:sz w:val="20"/>
          <w:szCs w:val="20"/>
        </w:rPr>
      </w:pPr>
      <w:r>
        <w:rPr>
          <w:rFonts w:ascii="Arial" w:hAnsi="Arial" w:cs="Arial"/>
          <w:sz w:val="20"/>
          <w:szCs w:val="20"/>
        </w:rPr>
        <w:t>The legacy of slavery significantly determines the socioeconom</w:t>
      </w:r>
      <w:r>
        <w:rPr>
          <w:rFonts w:ascii="Arial" w:hAnsi="Arial" w:cs="Arial"/>
          <w:sz w:val="20"/>
          <w:szCs w:val="20"/>
        </w:rPr>
        <w:t>ic and political formation of Brazil, impacting access to public policies and legally guaranteed social rights. Therefore, the article analyzes the leading role of the black movement in social struggles for rights, justice and racial equality, highlighting</w:t>
      </w:r>
      <w:r>
        <w:rPr>
          <w:rFonts w:ascii="Arial" w:hAnsi="Arial" w:cs="Arial"/>
          <w:sz w:val="20"/>
          <w:szCs w:val="20"/>
        </w:rPr>
        <w:t xml:space="preserve"> the contributions of the Center for Studies and Defense of Black People in Pará (CEDENPA) in combating racism, promoting racial equality and strengthening black cultures, enhancing the political participation of black individuals and collectives in decisi</w:t>
      </w:r>
      <w:r>
        <w:rPr>
          <w:rFonts w:ascii="Arial" w:hAnsi="Arial" w:cs="Arial"/>
          <w:sz w:val="20"/>
          <w:szCs w:val="20"/>
        </w:rPr>
        <w:t>on-making spaces. The article is based on bibliographic, documentary and field research, based on the analysis of scientific articles, documents and participant observation. It is concluded that the contributions of the black movement result in the advance</w:t>
      </w:r>
      <w:r>
        <w:rPr>
          <w:rFonts w:ascii="Arial" w:hAnsi="Arial" w:cs="Arial"/>
          <w:sz w:val="20"/>
          <w:szCs w:val="20"/>
        </w:rPr>
        <w:t>ment of the country's civilizing process, widely reaching Brazilian society.</w:t>
      </w:r>
    </w:p>
    <w:p w:rsidR="00000000" w:rsidRDefault="00B27316">
      <w:pPr>
        <w:pStyle w:val="NormalWeb"/>
        <w:spacing w:before="0" w:beforeAutospacing="0" w:after="0" w:afterAutospacing="0" w:line="15" w:lineRule="atLeast"/>
        <w:ind w:left="2880"/>
        <w:jc w:val="both"/>
        <w:rPr>
          <w:rFonts w:ascii="Arial" w:hAnsi="Arial" w:cs="Arial"/>
          <w:szCs w:val="20"/>
        </w:rPr>
      </w:pPr>
      <w:r>
        <w:rPr>
          <w:rFonts w:ascii="Arial" w:hAnsi="Arial" w:cs="Arial"/>
          <w:b/>
          <w:szCs w:val="20"/>
        </w:rPr>
        <w:t>Keywords</w:t>
      </w:r>
      <w:r>
        <w:rPr>
          <w:rFonts w:ascii="Arial" w:hAnsi="Arial" w:cs="Arial"/>
          <w:szCs w:val="20"/>
        </w:rPr>
        <w:t>:</w:t>
      </w:r>
      <w:r>
        <w:rPr>
          <w:rFonts w:ascii="Arial" w:hAnsi="Arial" w:cs="Arial"/>
          <w:szCs w:val="20"/>
        </w:rPr>
        <w:t>Black movement; CEDENPA; combating racism.</w:t>
      </w:r>
    </w:p>
    <w:p w:rsidR="00000000" w:rsidRDefault="00B27316">
      <w:pPr>
        <w:spacing w:line="240" w:lineRule="auto"/>
        <w:ind w:left="2835"/>
        <w:jc w:val="both"/>
        <w:rPr>
          <w:rFonts w:ascii="Arial" w:hAnsi="Arial" w:cs="Arial"/>
          <w:sz w:val="20"/>
          <w:szCs w:val="20"/>
        </w:rPr>
      </w:pPr>
    </w:p>
    <w:p w:rsidR="00000000" w:rsidRDefault="00B27316">
      <w:pPr>
        <w:rPr>
          <w:rFonts w:ascii="Arial" w:hAnsi="Arial" w:cs="Arial"/>
          <w:vertAlign w:val="superscript"/>
        </w:rPr>
      </w:pPr>
    </w:p>
    <w:p w:rsidR="00000000" w:rsidRDefault="00B27316">
      <w:pPr>
        <w:rPr>
          <w:rFonts w:ascii="Arial" w:hAnsi="Arial" w:cs="Arial"/>
        </w:rPr>
      </w:pPr>
      <w:r>
        <w:rPr>
          <w:rFonts w:ascii="Arial" w:hAnsi="Arial" w:cs="Arial"/>
          <w:vertAlign w:val="superscript"/>
        </w:rPr>
        <w:t>1</w:t>
      </w:r>
      <w:r>
        <w:rPr>
          <w:rFonts w:ascii="Arial" w:hAnsi="Arial" w:cs="Arial"/>
        </w:rPr>
        <w:t xml:space="preserve">Graduanda de Serviço Social, Universidade Federal do Pará, </w:t>
      </w:r>
      <w:hyperlink r:id="rId7" w:history="1">
        <w:r>
          <w:rPr>
            <w:rStyle w:val="Hyperlink"/>
            <w:rFonts w:ascii="Arial" w:hAnsi="Arial" w:cs="Arial"/>
          </w:rPr>
          <w:t>aishasousa2020@gma</w:t>
        </w:r>
        <w:r>
          <w:rPr>
            <w:rStyle w:val="Hyperlink"/>
            <w:rFonts w:ascii="Arial" w:hAnsi="Arial" w:cs="Arial"/>
          </w:rPr>
          <w:t>il.com</w:t>
        </w:r>
      </w:hyperlink>
    </w:p>
    <w:p w:rsidR="00000000" w:rsidRDefault="00B27316">
      <w:pPr>
        <w:rPr>
          <w:rFonts w:ascii="Arial" w:hAnsi="Arial" w:cs="Arial"/>
        </w:rPr>
      </w:pPr>
      <w:r>
        <w:rPr>
          <w:rFonts w:ascii="Arial" w:hAnsi="Arial" w:cs="Arial"/>
          <w:vertAlign w:val="superscript"/>
        </w:rPr>
        <w:t>2</w:t>
      </w:r>
      <w:r>
        <w:rPr>
          <w:rFonts w:ascii="Arial" w:hAnsi="Arial" w:cs="Arial"/>
        </w:rPr>
        <w:t xml:space="preserve">Doutora em Antropologia, Universidade Federal do Pará, </w:t>
      </w:r>
      <w:hyperlink r:id="rId8" w:history="1">
        <w:r>
          <w:rPr>
            <w:rStyle w:val="Hyperlink"/>
            <w:rFonts w:ascii="Arial" w:hAnsi="Arial" w:cs="Arial"/>
          </w:rPr>
          <w:t>cristinareda@ufpa.br</w:t>
        </w:r>
      </w:hyperlink>
    </w:p>
    <w:p w:rsidR="00000000" w:rsidRDefault="00B27316">
      <w:pPr>
        <w:rPr>
          <w:rFonts w:ascii="Arial" w:hAnsi="Arial"/>
        </w:rPr>
      </w:pPr>
      <w:r>
        <w:rPr>
          <w:rFonts w:ascii="Arial" w:hAnsi="Arial" w:cs="Arial"/>
          <w:vertAlign w:val="superscript"/>
        </w:rPr>
        <w:t>3</w:t>
      </w:r>
      <w:r>
        <w:rPr>
          <w:rFonts w:ascii="Arial" w:hAnsi="Arial" w:cs="Arial"/>
        </w:rPr>
        <w:t xml:space="preserve">Graduanda de Psicologia, Universidade Federal do Pará, </w:t>
      </w:r>
      <w:hyperlink r:id="rId9" w:history="1">
        <w:r>
          <w:rPr>
            <w:rStyle w:val="Hyperlink"/>
            <w:rFonts w:ascii="Arial" w:hAnsi="Arial"/>
          </w:rPr>
          <w:t>ruth.silva@ifch.ufpa.br</w:t>
        </w:r>
      </w:hyperlink>
    </w:p>
    <w:p w:rsidR="00000000" w:rsidRDefault="00B27316">
      <w:pPr>
        <w:spacing w:line="360" w:lineRule="auto"/>
        <w:rPr>
          <w:rFonts w:ascii="Arial" w:hAnsi="Arial" w:cs="Arial"/>
          <w:b/>
          <w:sz w:val="20"/>
          <w:szCs w:val="20"/>
        </w:rPr>
      </w:pPr>
    </w:p>
    <w:p w:rsidR="00000000" w:rsidRDefault="00B27316">
      <w:pPr>
        <w:pStyle w:val="NormalWeb"/>
        <w:numPr>
          <w:ilvl w:val="0"/>
          <w:numId w:val="1"/>
        </w:numPr>
        <w:tabs>
          <w:tab w:val="left" w:pos="425"/>
        </w:tabs>
        <w:spacing w:before="0" w:beforeAutospacing="0" w:after="0" w:afterAutospacing="0" w:line="360" w:lineRule="auto"/>
        <w:jc w:val="both"/>
        <w:rPr>
          <w:rFonts w:ascii="Arial" w:hAnsi="Arial" w:cs="Arial"/>
          <w:b/>
          <w:bCs/>
          <w:color w:val="000000"/>
          <w:sz w:val="24"/>
          <w:lang w:val="pt-BR"/>
        </w:rPr>
      </w:pPr>
      <w:r>
        <w:rPr>
          <w:rFonts w:ascii="Arial" w:hAnsi="Arial" w:cs="Arial"/>
          <w:b/>
          <w:sz w:val="24"/>
          <w:lang w:val="pt-BR"/>
        </w:rPr>
        <w:lastRenderedPageBreak/>
        <w:t>INTRODUÇÃO</w:t>
      </w:r>
    </w:p>
    <w:p w:rsidR="00000000" w:rsidRDefault="00B27316">
      <w:pPr>
        <w:pStyle w:val="Default"/>
        <w:spacing w:line="360" w:lineRule="auto"/>
        <w:ind w:firstLine="708"/>
        <w:jc w:val="both"/>
        <w:rPr>
          <w:rFonts w:ascii="Arial" w:hAnsi="Arial" w:cs="Arial"/>
        </w:rPr>
      </w:pPr>
      <w:r>
        <w:rPr>
          <w:rFonts w:ascii="Arial" w:hAnsi="Arial" w:cs="Arial"/>
        </w:rPr>
        <w:t>Apesar do reconhecimento do caráter pluriétnico e multicultural do Brasil, como atestam os Artigos 215 e 216 da Constituição Federal (Brasil, 1988), da criminalização do racismo (Brasil, 1989) e, inclusive, da existência de um Estatuto de Promo</w:t>
      </w:r>
      <w:r>
        <w:rPr>
          <w:rFonts w:ascii="Arial" w:hAnsi="Arial" w:cs="Arial"/>
        </w:rPr>
        <w:t>ção da Igualdade Racial (Brasil, 2010), persiste a desigualdade racial no acesso a bens e serviços socialmente produzidos e aos direitos sociais, expressando uma contradição, pois muitos desses direitos são resultantes das lutas políticas do movimento soci</w:t>
      </w:r>
      <w:r>
        <w:rPr>
          <w:rFonts w:ascii="Arial" w:hAnsi="Arial" w:cs="Arial"/>
        </w:rPr>
        <w:t>al negro. Conforme IBGE (2021) a manifestação das desigualdades por cor ou raça tem centralidade, com maiores níveis de vulnerabilidade das populações negras (compreendidas pessoas autodeclaradas pretas e pardas) e povos indígenas. Em relação à distribuiçã</w:t>
      </w:r>
      <w:r>
        <w:rPr>
          <w:rFonts w:ascii="Arial" w:hAnsi="Arial" w:cs="Arial"/>
        </w:rPr>
        <w:t xml:space="preserve">o e renda e condições de moradia no país, 15,4% da população branca e 32,9% da população negra viviam com valor inferior a US$5,50/dia dentre essas populações 3,6% e 8,8%, respectivamente, viviam com valor inferior a US$1,90/dia (IBGE, 2021). </w:t>
      </w:r>
    </w:p>
    <w:p w:rsidR="00000000" w:rsidRDefault="00B27316">
      <w:pPr>
        <w:pStyle w:val="Default"/>
        <w:spacing w:line="360" w:lineRule="auto"/>
        <w:ind w:firstLine="708"/>
        <w:jc w:val="both"/>
        <w:rPr>
          <w:rFonts w:ascii="Arial" w:hAnsi="Arial" w:cs="Arial"/>
        </w:rPr>
      </w:pPr>
      <w:r>
        <w:rPr>
          <w:rFonts w:ascii="Arial" w:hAnsi="Arial" w:cs="Arial"/>
        </w:rPr>
        <w:t>Ainda segund</w:t>
      </w:r>
      <w:r>
        <w:rPr>
          <w:rFonts w:ascii="Arial" w:hAnsi="Arial" w:cs="Arial"/>
        </w:rPr>
        <w:t>o esse Instituto, a taxa de analfabetismo é maior entre negros (9,1%) do que entre brancos (3,9%), seguindo-se essa mesma tendência para a taxa de desocupação de 34,6% - população branca e 64,2% - população negra. Ganha destaque ainda a taxa de informalida</w:t>
      </w:r>
      <w:r>
        <w:rPr>
          <w:rFonts w:ascii="Arial" w:hAnsi="Arial" w:cs="Arial"/>
        </w:rPr>
        <w:t xml:space="preserve">de no exercício das atividades remuneradas, considerando-se as Grandes Regiões, a Norte ocupa o segundo lugar no </w:t>
      </w:r>
      <w:r>
        <w:rPr>
          <w:rFonts w:ascii="Arial" w:hAnsi="Arial" w:cs="Arial"/>
          <w:i/>
          <w:iCs/>
        </w:rPr>
        <w:t xml:space="preserve">ranking </w:t>
      </w:r>
      <w:r>
        <w:rPr>
          <w:rFonts w:ascii="Arial" w:hAnsi="Arial" w:cs="Arial"/>
        </w:rPr>
        <w:t>apresentando 51,7% e 61%, para brancos e negros, respectivamente (IBGE, 2021). Essa desigualdade, observada empiricamente, mas comprova</w:t>
      </w:r>
      <w:r>
        <w:rPr>
          <w:rFonts w:ascii="Arial" w:hAnsi="Arial" w:cs="Arial"/>
        </w:rPr>
        <w:t xml:space="preserve">da estatisticamente, através de indicadores sociais, é justificada pelo racismo estrutural e institucional (Almeida, 2019). Afinal, o reconhecimento do racismo pelo Estado brasileiro não culminou na criação de estruturas institucionais, bem como aprovação </w:t>
      </w:r>
      <w:r>
        <w:rPr>
          <w:rFonts w:ascii="Arial" w:hAnsi="Arial" w:cs="Arial"/>
        </w:rPr>
        <w:t>de políticas públicas eficazes para promover a reparação e justiça sociorracial.</w:t>
      </w:r>
    </w:p>
    <w:p w:rsidR="00000000" w:rsidRDefault="00B27316">
      <w:pPr>
        <w:pStyle w:val="Default"/>
        <w:spacing w:line="360" w:lineRule="auto"/>
        <w:ind w:firstLine="708"/>
        <w:jc w:val="both"/>
        <w:rPr>
          <w:rFonts w:ascii="Arial" w:hAnsi="Arial" w:cs="Arial"/>
        </w:rPr>
      </w:pPr>
      <w:r>
        <w:rPr>
          <w:rFonts w:ascii="Arial" w:hAnsi="Arial" w:cs="Arial"/>
        </w:rPr>
        <w:t>Entretanto, não se pode negar avanços, principalmente relacionados às políticas de Saúde, Educação, em especial, a Política de Ação Afirmativa, conhecida como a Lei de Cotas (</w:t>
      </w:r>
      <w:r>
        <w:rPr>
          <w:rFonts w:ascii="Arial" w:hAnsi="Arial" w:cs="Arial"/>
        </w:rPr>
        <w:t xml:space="preserve">Brasil, 2012) e a Lei que reserva vagas para pessoas negras em concursos públicos (Brasil, 2014). Ainda assim, o ativismo político de movimentos sociais, a exemplo do movimento negro, que atuou para a conquista de direitos, continue necessário para manter </w:t>
      </w:r>
      <w:r>
        <w:rPr>
          <w:rFonts w:ascii="Arial" w:hAnsi="Arial" w:cs="Arial"/>
        </w:rPr>
        <w:t xml:space="preserve">tais direitos e concretizá-los, como faz o Centro de Estudos e Defesa do Negro do Pará (CEDENPA). </w:t>
      </w:r>
    </w:p>
    <w:p w:rsidR="00000000" w:rsidRDefault="00B27316">
      <w:pPr>
        <w:pStyle w:val="Default"/>
        <w:spacing w:line="360" w:lineRule="auto"/>
        <w:jc w:val="both"/>
        <w:rPr>
          <w:rFonts w:ascii="Arial" w:hAnsi="Arial" w:cs="Arial"/>
        </w:rPr>
      </w:pPr>
      <w:r>
        <w:rPr>
          <w:rFonts w:ascii="Arial" w:hAnsi="Arial" w:cs="Arial"/>
        </w:rPr>
        <w:tab/>
      </w:r>
      <w:r>
        <w:rPr>
          <w:rFonts w:ascii="Arial" w:hAnsi="Arial" w:cs="Arial"/>
        </w:rPr>
        <w:t>O artigo fundamenta-se na Revisão Integrativa de Literatura, levantamento documental e pesquisa de campo, com uso da observação participante, como principal</w:t>
      </w:r>
      <w:r>
        <w:rPr>
          <w:rFonts w:ascii="Arial" w:hAnsi="Arial" w:cs="Arial"/>
        </w:rPr>
        <w:t xml:space="preserve"> técnica de coleta de dados. Está </w:t>
      </w:r>
      <w:r>
        <w:rPr>
          <w:rFonts w:ascii="Arial" w:hAnsi="Arial" w:cs="Arial"/>
          <w:color w:val="auto"/>
        </w:rPr>
        <w:t xml:space="preserve">organizado em dois </w:t>
      </w:r>
      <w:r>
        <w:rPr>
          <w:rFonts w:ascii="Arial" w:hAnsi="Arial" w:cs="Arial"/>
        </w:rPr>
        <w:t>(02) Tópicos, além desta Introdução e da Conclusão. No Tópico 2, refletimos sobre o protagonismo do movimento negro na luta política e conquista de direitos sociais, estendidos à população brasileira não</w:t>
      </w:r>
      <w:r>
        <w:rPr>
          <w:rFonts w:ascii="Arial" w:hAnsi="Arial" w:cs="Arial"/>
        </w:rPr>
        <w:t xml:space="preserve"> negra, alcançando distintas dimensões da vida social. No Tópico 3, particularizamos o CEDENPA, destacando algumas de suas contribuições políticas para o enfrentamento do racismo e promoção da igualdade racial. </w:t>
      </w:r>
    </w:p>
    <w:p w:rsidR="00000000" w:rsidRDefault="00B27316">
      <w:pPr>
        <w:spacing w:line="360" w:lineRule="auto"/>
        <w:jc w:val="both"/>
        <w:rPr>
          <w:rFonts w:ascii="Arial" w:hAnsi="Arial" w:cs="Arial"/>
          <w:b/>
          <w:bCs/>
          <w:color w:val="0070C0"/>
        </w:rPr>
      </w:pPr>
      <w:r>
        <w:rPr>
          <w:rFonts w:ascii="Arial" w:hAnsi="Arial" w:cs="Arial"/>
          <w:b/>
          <w:bCs/>
        </w:rPr>
        <w:t xml:space="preserve">2.  </w:t>
      </w:r>
      <w:r>
        <w:rPr>
          <w:rFonts w:ascii="Arial" w:hAnsi="Arial" w:cs="Arial"/>
          <w:b/>
          <w:bCs/>
          <w:color w:val="000000"/>
        </w:rPr>
        <w:t xml:space="preserve">  O PROTAGONISMO DA POPULAÇÃO NEGRA DIAN</w:t>
      </w:r>
      <w:r>
        <w:rPr>
          <w:rFonts w:ascii="Arial" w:hAnsi="Arial" w:cs="Arial"/>
          <w:b/>
          <w:bCs/>
          <w:color w:val="000000"/>
        </w:rPr>
        <w:t>TE DAS DESIGUALDADES E INJUSTIÇAS SOCIORRACIAIS</w:t>
      </w:r>
    </w:p>
    <w:p w:rsidR="00000000" w:rsidRDefault="00B27316">
      <w:pPr>
        <w:spacing w:line="360" w:lineRule="auto"/>
        <w:ind w:firstLine="708"/>
        <w:jc w:val="both"/>
        <w:rPr>
          <w:rFonts w:ascii="Arial" w:hAnsi="Arial" w:cs="Arial"/>
          <w:color w:val="000000"/>
        </w:rPr>
      </w:pPr>
      <w:r>
        <w:rPr>
          <w:rFonts w:ascii="Arial" w:hAnsi="Arial" w:cs="Arial"/>
          <w:color w:val="000000"/>
        </w:rPr>
        <w:t>A construção socioeconômica e política do Brasil sustenta-se no trabalho de pessoas negras e indígenas escravizadas, que carregam uma história marcada por séculos de escravidão, destacando um corpo social que</w:t>
      </w:r>
      <w:r>
        <w:rPr>
          <w:rFonts w:ascii="Arial" w:hAnsi="Arial" w:cs="Arial"/>
          <w:color w:val="000000"/>
        </w:rPr>
        <w:t xml:space="preserve"> reflete de forma inequívoca as consequências de uma diáspora. Desta forma, entende-se que a discussão sobre igualdade ou desigualdade racial, com ênfase na população negra, implica na reflexão sobre as contradições que permeiam o acesso aos direitos socia</w:t>
      </w:r>
      <w:r>
        <w:rPr>
          <w:rFonts w:ascii="Arial" w:hAnsi="Arial" w:cs="Arial"/>
          <w:color w:val="000000"/>
        </w:rPr>
        <w:t xml:space="preserve">is, considerando o protagonismo dessa população na luta política por esses direitos. Porém, de acordo com Thula Pires, “a </w:t>
      </w:r>
      <w:r>
        <w:rPr>
          <w:rFonts w:ascii="Arial" w:hAnsi="Arial" w:cs="Arial"/>
        </w:rPr>
        <w:t>confiabilidade na universalidade e neutralidade dos direitos humanos foi acompanhada pelo desen</w:t>
      </w:r>
      <w:r>
        <w:rPr>
          <w:rFonts w:ascii="Arial" w:hAnsi="Arial" w:cs="Arial"/>
          <w:color w:val="000000"/>
        </w:rPr>
        <w:t>volvimento de modelos econômico-polític</w:t>
      </w:r>
      <w:r>
        <w:rPr>
          <w:rFonts w:ascii="Arial" w:hAnsi="Arial" w:cs="Arial"/>
          <w:color w:val="000000"/>
        </w:rPr>
        <w:t>os estruturados na desigualdade e no distanciamento das condições do bem viver para a zona do não ser.” (PIRES, 2018, p.67)</w:t>
      </w:r>
    </w:p>
    <w:p w:rsidR="00000000" w:rsidRDefault="00B27316">
      <w:pPr>
        <w:spacing w:line="360" w:lineRule="auto"/>
        <w:jc w:val="both"/>
        <w:rPr>
          <w:rFonts w:ascii="Arial" w:hAnsi="Arial" w:cs="Arial"/>
          <w:color w:val="000000"/>
        </w:rPr>
      </w:pPr>
      <w:r>
        <w:rPr>
          <w:rFonts w:ascii="Arial" w:hAnsi="Arial" w:cs="Arial"/>
          <w:color w:val="000000"/>
        </w:rPr>
        <w:tab/>
      </w:r>
      <w:r>
        <w:rPr>
          <w:rFonts w:ascii="Arial" w:hAnsi="Arial" w:cs="Arial"/>
          <w:color w:val="000000"/>
        </w:rPr>
        <w:t>O retrato da violência racial se exibe diante da materialização do racismo nas múltiplas dimensões, considerando outros fatores que</w:t>
      </w:r>
      <w:r>
        <w:rPr>
          <w:rFonts w:ascii="Arial" w:hAnsi="Arial" w:cs="Arial"/>
          <w:color w:val="000000"/>
        </w:rPr>
        <w:t xml:space="preserve"> atravessam de maneira desigual a produção e reprodução humana no cotidiano da população negra. Tais dimensões podem ser evidenciadas por meio de indicadores sociais, frequentemente divulgados por institutos de pesquisa e por órgãos governamentais a exempl</w:t>
      </w:r>
      <w:r>
        <w:rPr>
          <w:rFonts w:ascii="Arial" w:hAnsi="Arial" w:cs="Arial"/>
          <w:color w:val="000000"/>
        </w:rPr>
        <w:t xml:space="preserve">o de Waiselisz (2015), IBGE (2021), DIEESE (2023), entre outros.  </w:t>
      </w:r>
    </w:p>
    <w:p w:rsidR="00000000" w:rsidRDefault="00B27316">
      <w:pPr>
        <w:spacing w:line="360" w:lineRule="auto"/>
        <w:ind w:firstLine="708"/>
        <w:jc w:val="both"/>
        <w:rPr>
          <w:rFonts w:ascii="Arial" w:hAnsi="Arial" w:cs="Arial"/>
          <w:color w:val="000000"/>
        </w:rPr>
      </w:pPr>
      <w:r>
        <w:rPr>
          <w:rFonts w:ascii="Arial" w:hAnsi="Arial" w:cs="Arial"/>
          <w:color w:val="000000"/>
        </w:rPr>
        <w:t xml:space="preserve">  Esse segmento populacional fortalece uma coletividade que sustenta práticas racistas com base no mito da democracia racial, pelo qual são negadas as desvantagens geradoras de desigualdade</w:t>
      </w:r>
      <w:r>
        <w:rPr>
          <w:rFonts w:ascii="Arial" w:hAnsi="Arial" w:cs="Arial"/>
          <w:color w:val="000000"/>
        </w:rPr>
        <w:t>s e o próprio racismo, considerado por Munanga (2010) como perfeito, “por que a própria vítima é que é responsável pelo seu racismo, quem cometeu não tem nenhum problema”.  A hierarquia racial se apresenta intrinsecamente na contradição do acesso da popula</w:t>
      </w:r>
      <w:r>
        <w:rPr>
          <w:rFonts w:ascii="Arial" w:hAnsi="Arial" w:cs="Arial"/>
          <w:color w:val="000000"/>
        </w:rPr>
        <w:t>ção negra aos direitos sociais conquistados por meio de lutas protagonizadas pela mesma, acarretando o que Fanon (2018) caracteriza como “alienação do negro”, na tentativa de moldar os corpos negros ao modelo branco de humanidade, deduzindo que, a desigual</w:t>
      </w:r>
      <w:r>
        <w:rPr>
          <w:rFonts w:ascii="Arial" w:hAnsi="Arial" w:cs="Arial"/>
          <w:color w:val="000000"/>
        </w:rPr>
        <w:t xml:space="preserve">dade racial é reproduzida em consonância com o sistema econômico e os mecanismos de privilégio que intensificam o embranquecimento e reforçam a lógica neocolonial simultaneamente à marginalização da cultura, dos corpos, da linguagem e do ser. </w:t>
      </w:r>
    </w:p>
    <w:p w:rsidR="00000000" w:rsidRDefault="00B27316">
      <w:pPr>
        <w:spacing w:line="360" w:lineRule="auto"/>
        <w:ind w:firstLine="708"/>
        <w:jc w:val="both"/>
        <w:rPr>
          <w:rFonts w:ascii="Arial" w:hAnsi="Arial" w:cs="Arial"/>
          <w:color w:val="000000"/>
        </w:rPr>
      </w:pPr>
      <w:r>
        <w:rPr>
          <w:rFonts w:ascii="Arial" w:hAnsi="Arial" w:cs="Arial"/>
          <w:color w:val="000000"/>
        </w:rPr>
        <w:t>Diante de in</w:t>
      </w:r>
      <w:r>
        <w:rPr>
          <w:rFonts w:ascii="Arial" w:hAnsi="Arial" w:cs="Arial"/>
          <w:color w:val="000000"/>
        </w:rPr>
        <w:t>úmeras violações desde o tráfico, período de escravidão e pós abolição, desenvolveu-se não somente a construção de uma sociedade racista, como também, a sua perpetuação por meio do Estado e suas instituições, o que envolve a economia e também a política (A</w:t>
      </w:r>
      <w:r>
        <w:rPr>
          <w:rFonts w:ascii="Arial" w:hAnsi="Arial" w:cs="Arial"/>
          <w:color w:val="000000"/>
        </w:rPr>
        <w:t>lmeida, 2019).  O Racismo estrutural e institucional legitima a hierarquia racial que naturaliza o não ser, o não estar, os papéis de subserviência a serem desenvolvidos por pessoas negras e as desigualdades de toda ordem. Enfim, o racismo naturaliza essas</w:t>
      </w:r>
      <w:r>
        <w:rPr>
          <w:rFonts w:ascii="Arial" w:hAnsi="Arial" w:cs="Arial"/>
          <w:color w:val="000000"/>
        </w:rPr>
        <w:t xml:space="preserve"> e todas as demais violências (Almeida, 2019).   </w:t>
      </w:r>
    </w:p>
    <w:p w:rsidR="00000000" w:rsidRDefault="00B27316">
      <w:pPr>
        <w:tabs>
          <w:tab w:val="left" w:pos="1859"/>
        </w:tabs>
        <w:spacing w:line="360" w:lineRule="auto"/>
        <w:ind w:firstLineChars="250" w:firstLine="550"/>
        <w:jc w:val="both"/>
        <w:rPr>
          <w:rFonts w:ascii="Arial" w:hAnsi="Arial" w:cs="Arial"/>
          <w:color w:val="000000"/>
        </w:rPr>
      </w:pPr>
      <w:r>
        <w:rPr>
          <w:rFonts w:ascii="Arial" w:hAnsi="Arial" w:cs="Arial"/>
          <w:color w:val="000000"/>
        </w:rPr>
        <w:t>A contribuição dos povos africanos e brasileiros escravizados é inquestionável, e ocorreu para além do aspecto econômico. Para Lélia Gonzáles (2020) “Palmares foi berço da nacionalidade brasileira.</w:t>
      </w:r>
      <w:r>
        <w:rPr>
          <w:rFonts w:ascii="Arial" w:hAnsi="Arial" w:cs="Arial"/>
          <w:color w:val="000000"/>
        </w:rPr>
        <w:t xml:space="preserve"> </w:t>
      </w:r>
      <w:r>
        <w:rPr>
          <w:rFonts w:ascii="Arial" w:hAnsi="Arial" w:cs="Arial"/>
          <w:color w:val="000000"/>
        </w:rPr>
        <w:t>E o mesm</w:t>
      </w:r>
      <w:r>
        <w:rPr>
          <w:rFonts w:ascii="Arial" w:hAnsi="Arial" w:cs="Arial"/>
          <w:color w:val="000000"/>
        </w:rPr>
        <w:t>o se pode dizer com relação aos quilombos, onde a língua oficial era o pretuguês” (2020, p. 45). Partindo da análise linguística essa autora afirma ser o idioma português falado no Brasil, único e diferenciado dos demais países lusófonos, devido às influên</w:t>
      </w:r>
      <w:r>
        <w:rPr>
          <w:rFonts w:ascii="Arial" w:hAnsi="Arial" w:cs="Arial"/>
          <w:color w:val="000000"/>
        </w:rPr>
        <w:t xml:space="preserve">cias de povos africanos em diáspora. Destaca que as expressões linguísticas retratam relações sociais vivenciadas nos vários contextos de interação e resistência. </w:t>
      </w:r>
    </w:p>
    <w:p w:rsidR="00000000" w:rsidRDefault="00B27316">
      <w:pPr>
        <w:spacing w:line="360" w:lineRule="auto"/>
        <w:ind w:firstLineChars="250" w:firstLine="550"/>
        <w:jc w:val="both"/>
        <w:rPr>
          <w:rFonts w:ascii="Arial" w:hAnsi="Arial" w:cs="Arial"/>
          <w:color w:val="000000"/>
        </w:rPr>
      </w:pPr>
      <w:r>
        <w:rPr>
          <w:rFonts w:ascii="Arial" w:hAnsi="Arial" w:cs="Arial"/>
          <w:color w:val="000000"/>
        </w:rPr>
        <w:t>Não apenas no contexto colonial e imperial, mas no período republicano até os dias atuais, o</w:t>
      </w:r>
      <w:r>
        <w:rPr>
          <w:rFonts w:ascii="Arial" w:hAnsi="Arial" w:cs="Arial"/>
          <w:color w:val="000000"/>
        </w:rPr>
        <w:t xml:space="preserve"> movimento negro através de seu protagonismo na linha de frente em lutas sociais, obteve conquistas significativas, que alcançaram toda a sociedade, a exemplo da criminalização do racismo, por meio da Lei nº 7.716/1989 que caracteriza o racismo como crime </w:t>
      </w:r>
      <w:r>
        <w:rPr>
          <w:rFonts w:ascii="Arial" w:hAnsi="Arial" w:cs="Arial"/>
          <w:color w:val="000000"/>
        </w:rPr>
        <w:t>inafiançável. Em 2019 o Supremo Tribunal Federal, em decisão considerada inédita, ao reconhecer como crime a LGBTfobia, fez uso da Lei antirracismo para tal criminalização, até que o Congresso Nacional crie lei específica.  No entanto, faz-se uma crítica à</w:t>
      </w:r>
      <w:r>
        <w:rPr>
          <w:rFonts w:ascii="Arial" w:hAnsi="Arial" w:cs="Arial"/>
          <w:color w:val="000000"/>
        </w:rPr>
        <w:t>s legislações e normativas que são organizadas e aplicadas com base nas relações de poder, visto que, o histórico de lutas e conquistas do movimento negro também é marcado pela falsa afirmação de que “todos são iguais perante a lei”, o que manifesta divers</w:t>
      </w:r>
      <w:r>
        <w:rPr>
          <w:rFonts w:ascii="Arial" w:hAnsi="Arial" w:cs="Arial"/>
          <w:color w:val="000000"/>
        </w:rPr>
        <w:t xml:space="preserve">as contradições em sua execução quando se trata da questão racial. </w:t>
      </w:r>
    </w:p>
    <w:p w:rsidR="00000000" w:rsidRDefault="00B27316">
      <w:pPr>
        <w:spacing w:line="360" w:lineRule="auto"/>
        <w:ind w:firstLineChars="250" w:firstLine="550"/>
        <w:jc w:val="both"/>
        <w:rPr>
          <w:rFonts w:ascii="Arial" w:hAnsi="Arial" w:cs="Arial"/>
          <w:color w:val="000000"/>
        </w:rPr>
      </w:pPr>
      <w:r>
        <w:rPr>
          <w:rFonts w:ascii="Arial" w:hAnsi="Arial"/>
          <w:color w:val="000000"/>
        </w:rPr>
        <w:t>Outra conquista que alcança a sociedade de modo amplo, envolvendo segmentos populacionais não negros, são as ações afirmativas para ingresso no ensino superior. Pessoas racistas contrárias</w:t>
      </w:r>
      <w:r>
        <w:rPr>
          <w:rFonts w:ascii="Arial" w:hAnsi="Arial"/>
          <w:color w:val="000000"/>
        </w:rPr>
        <w:t xml:space="preserve"> à reparação argumentavam que a falta de acesso à Educação superior decorreria da má qualidade da Educação Básica e não pelo racismo (Carvalho, 2006). Por esta razão a Lei nº 12.711/2012 autoriza o ingresso de pessoas não negras por meio da ação afirmativa</w:t>
      </w:r>
      <w:r>
        <w:rPr>
          <w:rFonts w:ascii="Arial" w:hAnsi="Arial"/>
          <w:color w:val="000000"/>
        </w:rPr>
        <w:t xml:space="preserve">, desde que tenham cursado o Ensino Médio em escolas públicas. Entretanto, para além da classe social, Carvalho (2006) identificou vergonhoso “confinamento racial no mundo acadêmico” e evidenciou “questões teóricas e epistemológicas sobre a legitimidade e </w:t>
      </w:r>
      <w:r>
        <w:rPr>
          <w:rFonts w:ascii="Arial" w:hAnsi="Arial"/>
          <w:color w:val="000000"/>
        </w:rPr>
        <w:t>o estatuto de verdade das interpretações das relações raciais no Brasil formuladas no interior desse universo acadêmico profundamente desigual do ponto de vista racial” (2006, pp. 88-89).</w:t>
      </w:r>
    </w:p>
    <w:p w:rsidR="00000000" w:rsidRDefault="00B27316">
      <w:pPr>
        <w:spacing w:line="360" w:lineRule="auto"/>
        <w:ind w:firstLineChars="200" w:firstLine="440"/>
        <w:jc w:val="both"/>
        <w:rPr>
          <w:rFonts w:ascii="Arial" w:hAnsi="Arial" w:cs="Arial"/>
          <w:color w:val="000000"/>
        </w:rPr>
      </w:pPr>
      <w:r>
        <w:rPr>
          <w:rFonts w:ascii="Arial" w:hAnsi="Arial" w:cs="Arial"/>
        </w:rPr>
        <w:t>Além dessas legislações, pode-se considerar significativo o marco da</w:t>
      </w:r>
      <w:r>
        <w:rPr>
          <w:rFonts w:ascii="Arial" w:hAnsi="Arial" w:cs="Arial"/>
        </w:rPr>
        <w:t xml:space="preserve">s leis 10.639/2003 e </w:t>
      </w:r>
      <w:r>
        <w:rPr>
          <w:rFonts w:ascii="Arial" w:hAnsi="Arial" w:cs="Arial"/>
          <w:color w:val="000000"/>
        </w:rPr>
        <w:t>11.645/2008 que dispõe, respectivamente, sobre a obrigatoriedade de inclusão da temática "História e Cultura Afro-Brasileira" na Rede de Ensino pública e privada; e sobre a obrigatoriedade nas mesmas Redes de Ensino, da temática “Histó</w:t>
      </w:r>
      <w:r>
        <w:rPr>
          <w:rFonts w:ascii="Arial" w:hAnsi="Arial" w:cs="Arial"/>
          <w:color w:val="000000"/>
        </w:rPr>
        <w:t xml:space="preserve">ria e Cultura Afro-Brasileira e Indígena”. </w:t>
      </w:r>
      <w:r>
        <w:rPr>
          <w:rFonts w:ascii="Arial" w:hAnsi="Arial" w:cs="Arial"/>
          <w:color w:val="000000"/>
        </w:rPr>
        <w:t>Não se pode ainda, deixar de destacar o protagonismo do movimento negro no contexto da Assembleia Nacional Constituinte em 1986, com amplas reivindicações, algumas delas inseridas na Constituição Federal em vigor,</w:t>
      </w:r>
      <w:r>
        <w:rPr>
          <w:rFonts w:ascii="Arial" w:hAnsi="Arial" w:cs="Arial"/>
          <w:color w:val="000000"/>
        </w:rPr>
        <w:t xml:space="preserve"> como a criminalização do racismo, já referida antes, direito à diferença, livre exercício de cultos religiosos, direitos territoriais de coletivos quilombolas, direitos das crianças e adolescentes, em especial, a proibição de manutenção de “casas de deten</w:t>
      </w:r>
      <w:r>
        <w:rPr>
          <w:rFonts w:ascii="Arial" w:hAnsi="Arial" w:cs="Arial"/>
          <w:color w:val="000000"/>
        </w:rPr>
        <w:t>ção”, dentre outros.  A Convenção Nacional do Negro pela Constituinte foi realizada nos dias 26 e 27 de agosto de 1986 e contou com a participação de representantes de 63 entidades negras, de 16 estados da Federação, bem como partidos políticos, sindicatos</w:t>
      </w:r>
      <w:r>
        <w:rPr>
          <w:rFonts w:ascii="Arial" w:hAnsi="Arial" w:cs="Arial"/>
          <w:color w:val="000000"/>
        </w:rPr>
        <w:t xml:space="preserve"> e grupos sociais organizados (Senado, 1986). Destaca-se que apenas dois (02) estados da Região Amazônica foram representados na Convenção, Maranhão e Pará, através das entidades do movimento negro, Centro de Cultura Negra (CCN) do Maranhão, com destacado </w:t>
      </w:r>
      <w:r>
        <w:rPr>
          <w:rFonts w:ascii="Arial" w:hAnsi="Arial" w:cs="Arial"/>
          <w:color w:val="000000"/>
        </w:rPr>
        <w:t>protagonismo no combate ao racismo nessa Região e o Centro de Estudos e Defesa do Negro do Pará (CEDENPA), na figura da Professora Emérita Zélia Amador de Deus.  As denúncias feitas pelo movimento negro, acima de tudo, por mulheres negras em relação às vio</w:t>
      </w:r>
      <w:r>
        <w:rPr>
          <w:rFonts w:ascii="Arial" w:hAnsi="Arial" w:cs="Arial"/>
          <w:color w:val="000000"/>
        </w:rPr>
        <w:t xml:space="preserve">lências praticadas contra negras parturientes, à esterilização compulsória e a má qualidade do pré-natal, impulsionaram a criação do Programa de Atenção Integral à Saúde da Mulher (PAISM) pelo Ministério da Saúde, ainda em 1984, portanto antes da vigência </w:t>
      </w:r>
      <w:r>
        <w:rPr>
          <w:rFonts w:ascii="Arial" w:hAnsi="Arial" w:cs="Arial"/>
          <w:color w:val="000000"/>
        </w:rPr>
        <w:t>do Sistema Único de Saúde (Brasil, 2011).</w:t>
      </w:r>
    </w:p>
    <w:p w:rsidR="00000000" w:rsidRDefault="00B27316">
      <w:pPr>
        <w:spacing w:line="360" w:lineRule="auto"/>
        <w:ind w:firstLineChars="200" w:firstLine="440"/>
        <w:jc w:val="both"/>
        <w:rPr>
          <w:rFonts w:ascii="Arial" w:hAnsi="Arial" w:cs="Arial"/>
          <w:color w:val="0070C0"/>
        </w:rPr>
      </w:pPr>
      <w:r>
        <w:rPr>
          <w:rFonts w:ascii="Arial" w:hAnsi="Arial" w:cs="Arial"/>
          <w:color w:val="000000"/>
        </w:rPr>
        <w:t>Ao analisarmos a realidade de forma dialética, torna-se possível compreender que, dentre os mecanismos de resistência desenvolvidos pelo movimento negro, destaca-se a infindável luta política pela ampliação da repr</w:t>
      </w:r>
      <w:r>
        <w:rPr>
          <w:rFonts w:ascii="Arial" w:hAnsi="Arial" w:cs="Arial"/>
          <w:color w:val="000000"/>
        </w:rPr>
        <w:t xml:space="preserve">esentatividade de pessoas negras nos diversos espaços decisórios e de poder, pela conquista de direitos humanos e promoção da igualdade racial. Entretanto: </w:t>
      </w:r>
    </w:p>
    <w:p w:rsidR="00000000" w:rsidRDefault="00B27316">
      <w:pPr>
        <w:spacing w:line="240" w:lineRule="auto"/>
        <w:ind w:left="2832"/>
        <w:jc w:val="both"/>
        <w:rPr>
          <w:rFonts w:ascii="Arial" w:hAnsi="Arial" w:cs="Arial"/>
          <w:sz w:val="20"/>
          <w:szCs w:val="20"/>
        </w:rPr>
      </w:pPr>
      <w:r>
        <w:rPr>
          <w:rFonts w:ascii="Arial" w:hAnsi="Arial" w:cs="Arial"/>
          <w:color w:val="000000"/>
          <w:sz w:val="20"/>
          <w:szCs w:val="20"/>
        </w:rPr>
        <w:t>a</w:t>
      </w:r>
      <w:r>
        <w:rPr>
          <w:rFonts w:ascii="Arial" w:hAnsi="Arial" w:cs="Arial"/>
          <w:sz w:val="20"/>
          <w:szCs w:val="20"/>
        </w:rPr>
        <w:t xml:space="preserve">s potencialidades dos direitos humanos só fazem sentido se entendidas a partir das representações </w:t>
      </w:r>
      <w:r>
        <w:rPr>
          <w:rFonts w:ascii="Arial" w:hAnsi="Arial" w:cs="Arial"/>
          <w:sz w:val="20"/>
          <w:szCs w:val="20"/>
        </w:rPr>
        <w:t>sobre o humano que definem os próprios contornos da proteção jurídica. A cruel realidade dos que vivem na zona do não ser não evidencia violação de direitos, mas a mais bem-acabada aplicação do direito (e dos direitos humanos), nos termos em que foi constr</w:t>
      </w:r>
      <w:r>
        <w:rPr>
          <w:rFonts w:ascii="Arial" w:hAnsi="Arial" w:cs="Arial"/>
          <w:sz w:val="20"/>
          <w:szCs w:val="20"/>
        </w:rPr>
        <w:t>uído para atuar e para os sujeitos para os quais ele foi pensado para funcionar. (PIRES, 2018, p.67)</w:t>
      </w:r>
    </w:p>
    <w:p w:rsidR="00000000" w:rsidRDefault="00B27316">
      <w:pPr>
        <w:spacing w:line="240" w:lineRule="auto"/>
        <w:ind w:left="2832"/>
        <w:jc w:val="both"/>
        <w:rPr>
          <w:rFonts w:ascii="Arial" w:hAnsi="Arial" w:cs="Arial"/>
          <w:sz w:val="20"/>
          <w:szCs w:val="20"/>
        </w:rPr>
      </w:pPr>
    </w:p>
    <w:p w:rsidR="00000000" w:rsidRDefault="00B27316">
      <w:pPr>
        <w:tabs>
          <w:tab w:val="left" w:pos="1859"/>
        </w:tabs>
        <w:spacing w:line="360" w:lineRule="auto"/>
        <w:ind w:firstLineChars="200" w:firstLine="440"/>
        <w:jc w:val="both"/>
        <w:rPr>
          <w:rFonts w:ascii="Arial" w:hAnsi="Arial" w:cs="Arial"/>
          <w:color w:val="000000"/>
        </w:rPr>
      </w:pPr>
      <w:r>
        <w:rPr>
          <w:rFonts w:ascii="Arial" w:hAnsi="Arial" w:cs="Arial"/>
          <w:color w:val="000000"/>
        </w:rPr>
        <w:t>O reconhecimento desses elementos fomenta a discussão acerca das contradições que permeiam a luta política por direitos, protagonizada por indivíduos e co</w:t>
      </w:r>
      <w:r>
        <w:rPr>
          <w:rFonts w:ascii="Arial" w:hAnsi="Arial" w:cs="Arial"/>
          <w:color w:val="000000"/>
        </w:rPr>
        <w:t xml:space="preserve">letivos negros, bem como os percalços para se ter acesso aos direitos conquistados, à reparação e justiça social, como resposta aos determinantes sócio-históricos que abarcam a violência estrutural e estruturante. </w:t>
      </w:r>
    </w:p>
    <w:p w:rsidR="00000000" w:rsidRDefault="00B27316">
      <w:pPr>
        <w:pStyle w:val="Default"/>
        <w:numPr>
          <w:ilvl w:val="0"/>
          <w:numId w:val="2"/>
        </w:numPr>
        <w:spacing w:line="360" w:lineRule="auto"/>
        <w:jc w:val="both"/>
        <w:rPr>
          <w:rFonts w:ascii="Arial" w:hAnsi="Arial" w:cs="Arial"/>
          <w:b/>
          <w:bCs/>
        </w:rPr>
      </w:pPr>
      <w:r>
        <w:rPr>
          <w:rFonts w:ascii="Arial" w:hAnsi="Arial"/>
          <w:b/>
          <w:bCs/>
        </w:rPr>
        <w:t>CONTRIBUIÇÕES DO CEDENPA NO ENFRENTAMENTO</w:t>
      </w:r>
      <w:r>
        <w:rPr>
          <w:rFonts w:ascii="Arial" w:hAnsi="Arial"/>
          <w:b/>
          <w:bCs/>
        </w:rPr>
        <w:t xml:space="preserve"> DO RACISMO E PROMOÇÃO DA IGUALDADE RACIAL</w:t>
      </w:r>
      <w:r>
        <w:rPr>
          <w:rFonts w:ascii="Arial" w:hAnsi="Arial" w:cs="Arial"/>
          <w:b/>
          <w:bCs/>
        </w:rPr>
        <w:t xml:space="preserve"> </w:t>
      </w:r>
      <w:r>
        <w:rPr>
          <w:rFonts w:ascii="Arial" w:hAnsi="Arial" w:cs="Arial"/>
          <w:b/>
          <w:bCs/>
        </w:rPr>
        <w:tab/>
      </w:r>
    </w:p>
    <w:p w:rsidR="00000000" w:rsidRDefault="00B27316">
      <w:pPr>
        <w:pStyle w:val="Default"/>
        <w:spacing w:line="360" w:lineRule="auto"/>
        <w:jc w:val="both"/>
        <w:rPr>
          <w:rFonts w:ascii="Arial" w:hAnsi="Arial" w:cs="Arial"/>
        </w:rPr>
      </w:pPr>
      <w:r>
        <w:rPr>
          <w:rFonts w:ascii="Arial" w:hAnsi="Arial" w:cs="Arial"/>
        </w:rPr>
        <w:tab/>
      </w:r>
      <w:r>
        <w:rPr>
          <w:rFonts w:ascii="Arial" w:hAnsi="Arial" w:cs="Arial"/>
        </w:rPr>
        <w:t xml:space="preserve">No que tange ao processo histórico de expansão do movimento negro no Brasil, Conceição (2017) considera como marco importante as “mobilizações e ato que criou o Movimento Negro Unificado – MNU em (1978)”. Tais </w:t>
      </w:r>
      <w:r>
        <w:rPr>
          <w:rFonts w:ascii="Arial" w:hAnsi="Arial" w:cs="Arial"/>
        </w:rPr>
        <w:t>mobilizações foram organizadas no contexto da ditadura militar, quando havia grande repressão aos movimentos sociais. O CEDENPA foi fundado nesse contexto, sendo uma organização não-governamental, sem fins lucrativos, sem vínculo formal com qualquer partid</w:t>
      </w:r>
      <w:r>
        <w:rPr>
          <w:rFonts w:ascii="Arial" w:hAnsi="Arial" w:cs="Arial"/>
        </w:rPr>
        <w:t>o político partidário e denominação religiosa. “A partir de então, com atuação local, estadual e nacional, tem registro de participação nas várias lutas políticas pela promoção da igualdade racial e combate ao racismo” (Oshai, Nunes e Carneiro, 2024).</w:t>
      </w:r>
    </w:p>
    <w:p w:rsidR="00000000" w:rsidRDefault="00B27316">
      <w:pPr>
        <w:pStyle w:val="Default"/>
        <w:spacing w:line="360" w:lineRule="auto"/>
        <w:ind w:firstLine="708"/>
        <w:jc w:val="both"/>
        <w:rPr>
          <w:rFonts w:ascii="Arial" w:hAnsi="Arial" w:cs="Arial"/>
        </w:rPr>
      </w:pPr>
      <w:r>
        <w:rPr>
          <w:rFonts w:ascii="Arial" w:hAnsi="Arial" w:cs="Arial"/>
        </w:rPr>
        <w:t>E</w:t>
      </w:r>
      <w:r>
        <w:rPr>
          <w:rFonts w:ascii="Arial" w:hAnsi="Arial" w:cs="Arial"/>
        </w:rPr>
        <w:t>mbo</w:t>
      </w:r>
      <w:r>
        <w:rPr>
          <w:rFonts w:ascii="Arial" w:hAnsi="Arial" w:cs="Arial"/>
        </w:rPr>
        <w:t xml:space="preserve">ra o processo de construção da democracia brasileira tenha sido (e esteja sendo) protagonizado por inúmeros coletivos, a exemplo do movimento negro, a literatura sociológica e política dá visibilidade a determinados grupos e sujeitos sociais em detrimento </w:t>
      </w:r>
      <w:r>
        <w:rPr>
          <w:rFonts w:ascii="Arial" w:hAnsi="Arial" w:cs="Arial"/>
        </w:rPr>
        <w:t>de outros (Gomes e Rodrigues, 2018). Para a superação dessa visibilidade parcial, que é de fato uma ausência epistemológica, “é necessário reconhecer a existência desses sujeitos e processos [...] dos conhecimentos por eles produzidos [...] fazer emergir a</w:t>
      </w:r>
      <w:r>
        <w:rPr>
          <w:rFonts w:ascii="Arial" w:hAnsi="Arial" w:cs="Arial"/>
        </w:rPr>
        <w:t xml:space="preserve">s experiências sociais, culturais e políticas produzidas [...] e construídas nesses processos” (Gomes e Rodrigues, 2018:930). É com esse intuito que este Tópico foi elaborado, visando um breve e singelo compartilhamento </w:t>
      </w:r>
      <w:r>
        <w:rPr>
          <w:rFonts w:ascii="Arial" w:hAnsi="Arial" w:cs="Arial"/>
          <w:color w:val="auto"/>
        </w:rPr>
        <w:t xml:space="preserve">de três (03) </w:t>
      </w:r>
      <w:r>
        <w:rPr>
          <w:rFonts w:ascii="Arial" w:hAnsi="Arial" w:cs="Arial"/>
        </w:rPr>
        <w:t>contribuições do CEDENP</w:t>
      </w:r>
      <w:r>
        <w:rPr>
          <w:rFonts w:ascii="Arial" w:hAnsi="Arial" w:cs="Arial"/>
        </w:rPr>
        <w:t xml:space="preserve">A, além do já exposto anteriormente. Assim, além do levantamento bibliográfico e documental, o compartilhamento baseia-se também na pesquisa participante e na escrevivência, como “um modo de escrita” evidenciado por Evaristo (2018, p.11) que dá voz, letra </w:t>
      </w:r>
      <w:r>
        <w:rPr>
          <w:rFonts w:ascii="Arial" w:hAnsi="Arial" w:cs="Arial"/>
        </w:rPr>
        <w:t>e escrita às mulheres negras.</w:t>
      </w:r>
    </w:p>
    <w:p w:rsidR="00000000" w:rsidRDefault="00B27316">
      <w:pPr>
        <w:pStyle w:val="Default"/>
        <w:spacing w:line="360" w:lineRule="auto"/>
        <w:ind w:firstLine="708"/>
        <w:jc w:val="both"/>
        <w:rPr>
          <w:rFonts w:ascii="Arial" w:hAnsi="Arial" w:cs="Arial"/>
        </w:rPr>
      </w:pPr>
      <w:r>
        <w:rPr>
          <w:rFonts w:ascii="Arial" w:hAnsi="Arial" w:cs="Arial"/>
        </w:rPr>
        <w:t>Militantes do movimento negro no Pará, em entrevista concedida a Damasceno (2011), argumentam que a verdadeira valorização da cultura negra só pode ocorrer quando esta é abordada na escola de forma crítica, histórica e interdi</w:t>
      </w:r>
      <w:r>
        <w:rPr>
          <w:rFonts w:ascii="Arial" w:hAnsi="Arial" w:cs="Arial"/>
        </w:rPr>
        <w:t>sciplinar, reconhecendo a contribuição dos povos africanos e afrodescendentes na construção da sociedade brasileira. Ao contrário, a abordagem da cultura negra no ambiente escolar se restringia e, apesar da Lei 10.639/2003 (Brasil, 2003) em vigor, muitas v</w:t>
      </w:r>
      <w:r>
        <w:rPr>
          <w:rFonts w:ascii="Arial" w:hAnsi="Arial" w:cs="Arial"/>
        </w:rPr>
        <w:t xml:space="preserve">ezes, ainda se restringe a atividades pontuais em datas comemorativas, o que esvazia o conteúdo político e histórico da presença negra no Brasil, transformando-a em uma folclorização da cultura. </w:t>
      </w:r>
    </w:p>
    <w:p w:rsidR="00000000" w:rsidRDefault="00B27316">
      <w:pPr>
        <w:pStyle w:val="Default"/>
        <w:spacing w:line="360" w:lineRule="auto"/>
        <w:ind w:firstLine="708"/>
        <w:jc w:val="both"/>
        <w:rPr>
          <w:rFonts w:ascii="Arial" w:hAnsi="Arial" w:cs="Arial"/>
        </w:rPr>
      </w:pPr>
      <w:r>
        <w:rPr>
          <w:rFonts w:ascii="Arial" w:hAnsi="Arial" w:cs="Arial"/>
        </w:rPr>
        <w:t>Com essa percepção o CEDENPA, ainda em 2002, contribuiu para</w:t>
      </w:r>
      <w:r>
        <w:rPr>
          <w:rFonts w:ascii="Arial" w:hAnsi="Arial" w:cs="Arial"/>
        </w:rPr>
        <w:t xml:space="preserve"> a criação da Seção Técnica Pedagógica de Relações Raciais na Secretaria de Educação do estado do Pará (SEDUC/PA) (Brito, 2012). Em 2003 a Seção foi ampliada passando a ser denominada por Coordenadoria de Educação Inclusiva (CEINC); e em 2005 foi renomeada</w:t>
      </w:r>
      <w:r>
        <w:rPr>
          <w:rFonts w:ascii="Arial" w:hAnsi="Arial" w:cs="Arial"/>
        </w:rPr>
        <w:t xml:space="preserve"> para Coordenadoria de Educação para a Promoção de Igualdade Racial (COPIR), cuja atuação em âmbito estadual consiste na formação continuada de professores e técnicos a nível de aperfeiçoamento, pós-graduação, através de convênios estabelecidos com Institu</w:t>
      </w:r>
      <w:r>
        <w:rPr>
          <w:rFonts w:ascii="Arial" w:hAnsi="Arial" w:cs="Arial"/>
        </w:rPr>
        <w:t xml:space="preserve">ições de Ensino Superior e formação específica para professores quilombolas ou que atuem em comunidades quilombolas. Tais ações visam à qualificação para atender o que prevê a Lei 10.639/2003 (Brito, 2012). </w:t>
      </w:r>
    </w:p>
    <w:p w:rsidR="00000000" w:rsidRDefault="00B27316">
      <w:pPr>
        <w:pStyle w:val="Default"/>
        <w:spacing w:line="360" w:lineRule="auto"/>
        <w:ind w:firstLine="708"/>
        <w:jc w:val="both"/>
        <w:rPr>
          <w:rFonts w:ascii="Arial" w:hAnsi="Arial" w:cs="Arial"/>
        </w:rPr>
      </w:pPr>
      <w:r>
        <w:rPr>
          <w:rFonts w:ascii="Arial" w:hAnsi="Arial" w:cs="Arial"/>
        </w:rPr>
        <w:t>Além da formação continuada no âmbito da Educaçã</w:t>
      </w:r>
      <w:r>
        <w:rPr>
          <w:rFonts w:ascii="Arial" w:hAnsi="Arial" w:cs="Arial"/>
        </w:rPr>
        <w:t>o Básica, a COPIR também tem ampla produção de material didático, realiza ações complementares a exemplo de exposições, campanhas, presta assessoria permanente às Unidades Regionais da Educação (URE’s) e desenvolve projetos relacionados à educação antirrac</w:t>
      </w:r>
      <w:r>
        <w:rPr>
          <w:rFonts w:ascii="Arial" w:hAnsi="Arial" w:cs="Arial"/>
        </w:rPr>
        <w:t>ista. A COPIR desde a sua criação até os primeiros meses deste ano contou com uma equipe altamente qualificada técnica e politicamente, tendo essas qualificações contribuído para o êxito da Coordenadoria, que ao longo de 23 anos vem enfrentando e superando</w:t>
      </w:r>
      <w:r>
        <w:rPr>
          <w:rFonts w:ascii="Arial" w:hAnsi="Arial" w:cs="Arial"/>
        </w:rPr>
        <w:t xml:space="preserve"> o racismo institucional agravado pelos reveses políticos que permeiam os governos. </w:t>
      </w:r>
    </w:p>
    <w:p w:rsidR="00000000" w:rsidRDefault="00B27316">
      <w:pPr>
        <w:pStyle w:val="Default"/>
        <w:spacing w:line="360" w:lineRule="auto"/>
        <w:ind w:firstLine="708"/>
        <w:jc w:val="both"/>
        <w:rPr>
          <w:rFonts w:ascii="Arial" w:hAnsi="Arial" w:cs="Arial"/>
        </w:rPr>
      </w:pPr>
      <w:r>
        <w:rPr>
          <w:rFonts w:ascii="Arial" w:hAnsi="Arial" w:cs="Arial"/>
        </w:rPr>
        <w:t>É importante destacar que o CEDENPA, embora tenha como foco principal o combate ao racismo e promoção da igualdade racial, reconhece que os marcadores sociais — raça, gêne</w:t>
      </w:r>
      <w:r>
        <w:rPr>
          <w:rFonts w:ascii="Arial" w:hAnsi="Arial" w:cs="Arial"/>
        </w:rPr>
        <w:t>ro, classe, orientação sexual, entre outros — são interdependentes e atravessam a experiência negra de diferentes formas. De acordo com Conrado (2022), o CEDENPA atua de forma interseccional, somando-se a lutas por justiça de gênero, direitos das populaçõe</w:t>
      </w:r>
      <w:r>
        <w:rPr>
          <w:rFonts w:ascii="Arial" w:hAnsi="Arial" w:cs="Arial"/>
        </w:rPr>
        <w:t>s LGBTQIA+, povos indígenas, ribeirinhos e trabalhadores rurais, dentre outros. Ao reconhecer que a opressão não é única nem isolada, o movimento se fortalece como um espaço de articulação ampla, promovendo o diálogo entre diferentes causas sociais e propo</w:t>
      </w:r>
      <w:r>
        <w:rPr>
          <w:rFonts w:ascii="Arial" w:hAnsi="Arial" w:cs="Arial"/>
        </w:rPr>
        <w:t>ndo ações concretas que respeitam as diversidades dentro da própria população negra.</w:t>
      </w:r>
    </w:p>
    <w:p w:rsidR="00000000" w:rsidRDefault="00B27316">
      <w:pPr>
        <w:pStyle w:val="Default"/>
        <w:spacing w:line="360" w:lineRule="auto"/>
        <w:ind w:firstLine="708"/>
        <w:jc w:val="both"/>
        <w:rPr>
          <w:rFonts w:ascii="Arial" w:hAnsi="Arial" w:cs="Arial"/>
        </w:rPr>
      </w:pPr>
      <w:r>
        <w:rPr>
          <w:rFonts w:ascii="Arial" w:hAnsi="Arial" w:cs="Arial"/>
        </w:rPr>
        <w:t>Sendo assim, destacamos as contribuições do CEDENPA para a realização dos Encontros de Mulheres Negras Quilombolas, em parceria com mulheres quilombolas do município Salva</w:t>
      </w:r>
      <w:r>
        <w:rPr>
          <w:rFonts w:ascii="Arial" w:hAnsi="Arial" w:cs="Arial"/>
        </w:rPr>
        <w:t>terra, estado do Pará. Esse Encontro foi idealizado por Luzia Betânia Alcântara – Bete, o que contemplou a inquietação de algumas mulheres negras quilombolas que sentiam a necessidade e desejo de discutir questões ditas ‘das mulheres’, pois ainda não se ut</w:t>
      </w:r>
      <w:r>
        <w:rPr>
          <w:rFonts w:ascii="Arial" w:hAnsi="Arial" w:cs="Arial"/>
        </w:rPr>
        <w:t>ilizava a expressão ‘gênero’ e coletivizar a luta política por direitos. Nessa época, no ano 2000, militantes do CEDENPA, dentre as quais citamos Maria do Socorro Santos estavam em interlocução com várias comunidades negras rurais, que ainda não se reconhe</w:t>
      </w:r>
      <w:r>
        <w:rPr>
          <w:rFonts w:ascii="Arial" w:hAnsi="Arial" w:cs="Arial"/>
        </w:rPr>
        <w:t xml:space="preserve">ciam e nem eram identificadas como quilombolas. Inclusive o principal objetivo da interlocução era exatamente divulgar os direitos territoriais adquiridos recentemente, conforme o Art. 68 do Ato das Disposições Constitucionais Transitórias (ADCT) (Brasil, </w:t>
      </w:r>
      <w:r>
        <w:rPr>
          <w:rFonts w:ascii="Arial" w:hAnsi="Arial" w:cs="Arial"/>
        </w:rPr>
        <w:t xml:space="preserve">1988). </w:t>
      </w:r>
    </w:p>
    <w:p w:rsidR="00000000" w:rsidRDefault="00B27316">
      <w:pPr>
        <w:pStyle w:val="Default"/>
        <w:spacing w:line="360" w:lineRule="auto"/>
        <w:ind w:firstLine="708"/>
        <w:jc w:val="both"/>
        <w:rPr>
          <w:rFonts w:ascii="Arial" w:hAnsi="Arial" w:cs="Arial"/>
        </w:rPr>
      </w:pPr>
      <w:r>
        <w:rPr>
          <w:rFonts w:ascii="Arial" w:hAnsi="Arial" w:cs="Arial"/>
        </w:rPr>
        <w:t>Salvaterra foi o município que sediou os três (03) primeiros Encontros, o último realizado em 2004. Porém, considerando a expansão e visibilidade das atividades, comunidades quilombolas de outros municípios passaram a se oferecer para sediar o even</w:t>
      </w:r>
      <w:r>
        <w:rPr>
          <w:rFonts w:ascii="Arial" w:hAnsi="Arial" w:cs="Arial"/>
        </w:rPr>
        <w:t>to, que ganhou dimensão regional e posteriormente nacional. Isso foi observado no 6º Encontro quando, mulheres do Tocantins, Maranhão, Piauí, Bahia e Amapá se juntaram ao Encontro; Mulheres do Amapá, entretanto, já participavam desde o 1º Encontro. Gradati</w:t>
      </w:r>
      <w:r>
        <w:rPr>
          <w:rFonts w:ascii="Arial" w:hAnsi="Arial" w:cs="Arial"/>
        </w:rPr>
        <w:t>vamente os Encontros foram se ampliando em número de participantes, tendo alcançado 580 pessoas no 6º Encontro, como também se ampliavam os temas debatidos, pois falávamos:</w:t>
      </w:r>
    </w:p>
    <w:p w:rsidR="00000000" w:rsidRDefault="00B27316">
      <w:pPr>
        <w:pStyle w:val="Default"/>
        <w:ind w:left="2832"/>
        <w:jc w:val="both"/>
        <w:rPr>
          <w:rFonts w:ascii="Arial" w:hAnsi="Arial" w:cs="Arial"/>
          <w:sz w:val="20"/>
          <w:szCs w:val="20"/>
        </w:rPr>
      </w:pPr>
      <w:r>
        <w:rPr>
          <w:rFonts w:ascii="Arial" w:hAnsi="Arial" w:cs="Arial"/>
          <w:sz w:val="20"/>
          <w:szCs w:val="20"/>
        </w:rPr>
        <w:t>da dureza da realidade (racismo, extermínio de jovens negros, falta de acesso aos d</w:t>
      </w:r>
      <w:r>
        <w:rPr>
          <w:rFonts w:ascii="Arial" w:hAnsi="Arial" w:cs="Arial"/>
          <w:sz w:val="20"/>
          <w:szCs w:val="20"/>
        </w:rPr>
        <w:t>ireitos constitucionais, violência contra a mulher, dentre outras questões), mas também valorizávamos os conhecimentos ancestrais e o protagonismo das populações negra e quilombolas, em especial das mulheres, na criação de estratégias para produção da vida</w:t>
      </w:r>
      <w:r>
        <w:rPr>
          <w:rFonts w:ascii="Arial" w:hAnsi="Arial" w:cs="Arial"/>
          <w:sz w:val="20"/>
          <w:szCs w:val="20"/>
        </w:rPr>
        <w:t xml:space="preserve"> coletiva, então as atividades culturais também eram pautadas e valorizadas e nós cantávamos e dançávamos muito. (Oshai, Nunes e Carneiro, 2024:44).</w:t>
      </w:r>
    </w:p>
    <w:p w:rsidR="00000000" w:rsidRDefault="00B27316">
      <w:pPr>
        <w:pStyle w:val="Default"/>
        <w:ind w:left="2832"/>
        <w:jc w:val="both"/>
        <w:rPr>
          <w:rFonts w:ascii="Arial" w:hAnsi="Arial" w:cs="Arial"/>
          <w:sz w:val="20"/>
          <w:szCs w:val="20"/>
        </w:rPr>
      </w:pPr>
    </w:p>
    <w:p w:rsidR="00000000" w:rsidRDefault="00B27316">
      <w:pPr>
        <w:pStyle w:val="Default"/>
        <w:spacing w:line="360" w:lineRule="auto"/>
        <w:ind w:firstLine="708"/>
        <w:jc w:val="both"/>
        <w:rPr>
          <w:rFonts w:ascii="Arial" w:hAnsi="Arial" w:cs="Arial"/>
        </w:rPr>
      </w:pPr>
      <w:r>
        <w:rPr>
          <w:rFonts w:ascii="Arial" w:hAnsi="Arial" w:cs="Arial"/>
        </w:rPr>
        <w:t>Gradativamente os Encontros ganhavam força política e assim passaram a ser apoiados por instituições públi</w:t>
      </w:r>
      <w:r>
        <w:rPr>
          <w:rFonts w:ascii="Arial" w:hAnsi="Arial" w:cs="Arial"/>
        </w:rPr>
        <w:t>cas como a Secretaria de Saúde Pública do Pará (SESPA), Fundação Curro Velho, Central de Abastecimento do Pará (CEASA-PA), Empresa de Assistência Técnica e Extensão Rural do Estado do Pará (EMATER-PA), Secretaria de Agricultura do Estado do Pará (SAGRI-PA)</w:t>
      </w:r>
      <w:r>
        <w:rPr>
          <w:rFonts w:ascii="Arial" w:hAnsi="Arial" w:cs="Arial"/>
        </w:rPr>
        <w:t>, Fundo das Nações Unidas para a Infância (UNICEF), Ministério do Desenvolvimento Agrário (MDA), Rede Bragantina, Secretaria de Justiça e Direitos Humanos / Coordenação de Políticas Promoção da Igualdade Racial (SEJUDH-COPPIR), a Organização Não-governamen</w:t>
      </w:r>
      <w:r>
        <w:rPr>
          <w:rFonts w:ascii="Arial" w:hAnsi="Arial" w:cs="Arial"/>
        </w:rPr>
        <w:t>tal ICCO, de origem holandesa, dentro outras parcerias. A partir do 7º Encontro as mulheres que exerciam liderança na Coordenação das Associações Quilombolas do Pará – Malungu foram assumindo o protagonismo na organização dos Encontros, porém o CEDENPA con</w:t>
      </w:r>
      <w:r>
        <w:rPr>
          <w:rFonts w:ascii="Arial" w:hAnsi="Arial" w:cs="Arial"/>
        </w:rPr>
        <w:t xml:space="preserve">tinua apoiando a atividade, que segue acontecendo. </w:t>
      </w:r>
    </w:p>
    <w:p w:rsidR="00000000" w:rsidRDefault="00B27316">
      <w:pPr>
        <w:pStyle w:val="Default"/>
        <w:spacing w:line="360" w:lineRule="auto"/>
        <w:ind w:firstLine="708"/>
        <w:jc w:val="both"/>
        <w:rPr>
          <w:rFonts w:ascii="Arial" w:hAnsi="Arial" w:cs="Arial"/>
        </w:rPr>
      </w:pPr>
      <w:r>
        <w:rPr>
          <w:rFonts w:ascii="Arial" w:hAnsi="Arial" w:cs="Arial"/>
        </w:rPr>
        <w:t>Importante destacar ainda, que no 4º Encontro foi fundada a Rede Fulanas, idealizada por Raimunda Nilma de Melo Bentes – Nilma Bentes, cofundadora do CEDENPA e por Maria das Dores Almeida – Durica, do Ins</w:t>
      </w:r>
      <w:r>
        <w:rPr>
          <w:rFonts w:ascii="Arial" w:hAnsi="Arial" w:cs="Arial"/>
        </w:rPr>
        <w:t>tituto de Mulheres Negras do Amapá (IMENA). A Rede Fulanas articula mulheres negras de todos os estados da Amazônia brasileira e de outras regiões, sendo uma das apoiadoras da Marcha Nacional das Mulheres Negras (MMN). Essa Marcha também foi idealizada por</w:t>
      </w:r>
      <w:r>
        <w:rPr>
          <w:rFonts w:ascii="Arial" w:hAnsi="Arial" w:cs="Arial"/>
        </w:rPr>
        <w:t xml:space="preserve"> Nilma Bentes em 2011, no contexto do Encontro Nacional de Mulheres Negras realizado em Salvador, porém a sua concretização só aconteceu em 18.11.2015, em Brasília/Distrito Federal. </w:t>
      </w:r>
    </w:p>
    <w:p w:rsidR="00000000" w:rsidRDefault="00B27316">
      <w:pPr>
        <w:pStyle w:val="Default"/>
        <w:spacing w:line="360" w:lineRule="auto"/>
        <w:ind w:firstLine="708"/>
        <w:jc w:val="both"/>
        <w:rPr>
          <w:rFonts w:ascii="Arial" w:hAnsi="Arial" w:cs="Arial"/>
        </w:rPr>
      </w:pPr>
      <w:r>
        <w:rPr>
          <w:rFonts w:ascii="Arial" w:hAnsi="Arial" w:cs="Arial"/>
        </w:rPr>
        <w:t>A segunda MMN está prevista para acontecer no mesmo local, no dia 25.11.2</w:t>
      </w:r>
      <w:r>
        <w:rPr>
          <w:rFonts w:ascii="Arial" w:hAnsi="Arial" w:cs="Arial"/>
        </w:rPr>
        <w:t>025 e vem mobilizando várias articulações de mulheres negras de todo o país, movimento negro, Redes e Fóruns regionais e nacionais. Mencionamos a MMN como a terceira contribuição do CEDENPA para o enfrentamento do racismo, como nos propusemos a fazer, reco</w:t>
      </w:r>
      <w:r>
        <w:rPr>
          <w:rFonts w:ascii="Arial" w:hAnsi="Arial" w:cs="Arial"/>
        </w:rPr>
        <w:t xml:space="preserve">nhecendo tratar-se de uma escolha arbitrária, dentre tantas outras ações realizadas, projetos desenvolvimentos e incidências políticas em espaços de decisão. </w:t>
      </w:r>
    </w:p>
    <w:p w:rsidR="00000000" w:rsidRDefault="00B27316">
      <w:pPr>
        <w:numPr>
          <w:ilvl w:val="0"/>
          <w:numId w:val="2"/>
        </w:numPr>
        <w:spacing w:line="360" w:lineRule="auto"/>
        <w:jc w:val="both"/>
        <w:rPr>
          <w:rFonts w:ascii="Arial" w:hAnsi="Arial" w:cs="Arial"/>
          <w:b/>
          <w:bCs/>
          <w:sz w:val="24"/>
          <w:szCs w:val="24"/>
        </w:rPr>
      </w:pPr>
      <w:r>
        <w:rPr>
          <w:rFonts w:ascii="Arial" w:hAnsi="Arial" w:cs="Arial"/>
          <w:b/>
          <w:bCs/>
          <w:sz w:val="24"/>
          <w:szCs w:val="24"/>
        </w:rPr>
        <w:t>CONCLUSÃO</w:t>
      </w:r>
    </w:p>
    <w:p w:rsidR="00000000" w:rsidRDefault="00B27316">
      <w:pPr>
        <w:spacing w:line="360" w:lineRule="auto"/>
        <w:jc w:val="both"/>
        <w:rPr>
          <w:rFonts w:ascii="Arial" w:hAnsi="Arial" w:cs="Arial"/>
          <w:sz w:val="24"/>
          <w:szCs w:val="24"/>
        </w:rPr>
      </w:pPr>
      <w:r>
        <w:rPr>
          <w:rFonts w:ascii="Arial" w:hAnsi="Arial" w:cs="Arial"/>
          <w:sz w:val="24"/>
          <w:szCs w:val="24"/>
        </w:rPr>
        <w:t xml:space="preserve">Em contrapartida, a história da população negra não se limita apenas a lutas sociais e </w:t>
      </w:r>
      <w:r>
        <w:rPr>
          <w:rFonts w:ascii="Arial" w:hAnsi="Arial" w:cs="Arial"/>
          <w:sz w:val="24"/>
          <w:szCs w:val="24"/>
        </w:rPr>
        <w:t xml:space="preserve">ao processo escravocrata, mas faz inteiramente correlação com os contributos que moldam a sociedade contemporânea, além de enfatizar o avanço no reconhecimento das produções científicas, a transformação através da arte, o alcance por meio da poesia e toda </w:t>
      </w:r>
      <w:r>
        <w:rPr>
          <w:rFonts w:ascii="Arial" w:hAnsi="Arial" w:cs="Arial"/>
          <w:sz w:val="24"/>
          <w:szCs w:val="24"/>
        </w:rPr>
        <w:t>produção artística que perpassa pelo cotidiano da população negra nas baixadas, favelas e periferias de todo país, estimulando a potencialidade individual e coletiva da juventude negra e a herança cultural através da ancestralidade, da conexão e do pertenc</w:t>
      </w:r>
      <w:r>
        <w:rPr>
          <w:rFonts w:ascii="Arial" w:hAnsi="Arial" w:cs="Arial"/>
          <w:sz w:val="24"/>
          <w:szCs w:val="24"/>
        </w:rPr>
        <w:t>imento.</w:t>
      </w:r>
    </w:p>
    <w:p w:rsidR="00000000" w:rsidRDefault="00B27316">
      <w:pPr>
        <w:pStyle w:val="Default"/>
        <w:spacing w:line="360" w:lineRule="auto"/>
        <w:ind w:firstLine="708"/>
        <w:jc w:val="both"/>
        <w:rPr>
          <w:rFonts w:ascii="Arial" w:hAnsi="Arial" w:cs="Arial"/>
        </w:rPr>
      </w:pPr>
      <w:r>
        <w:rPr>
          <w:rFonts w:ascii="Arial" w:hAnsi="Arial" w:cs="Arial"/>
        </w:rPr>
        <w:t>Desejamos que outras publicações sejam feitas para romper as ausências epistemológicas e apagamentos da população negra e movimento negro, em todas as dimensões que acontecem. Por fim, ao promover espaços de debate, de arte e de afirmação racial, a</w:t>
      </w:r>
      <w:r>
        <w:rPr>
          <w:rFonts w:ascii="Arial" w:hAnsi="Arial" w:cs="Arial"/>
        </w:rPr>
        <w:t xml:space="preserve"> organização contribui diretamente para a construção da Consciência Negra enquanto prática coletiva. A sua atuação fortalece o reconhecimento das expressões culturais afro-amazônicas como legítimas e fundamentais para o Brasil. Além disso, ao dialogar com </w:t>
      </w:r>
      <w:r>
        <w:rPr>
          <w:rFonts w:ascii="Arial" w:hAnsi="Arial" w:cs="Arial"/>
        </w:rPr>
        <w:t>outras organizações negras do país e da diáspora, o CEDENPA posiciona o Pará como parte ativa do movimento negro nacional e internacional.</w:t>
      </w:r>
    </w:p>
    <w:p w:rsidR="00000000" w:rsidRDefault="00B27316">
      <w:pPr>
        <w:spacing w:line="360" w:lineRule="auto"/>
        <w:jc w:val="both"/>
        <w:rPr>
          <w:rFonts w:ascii="Arial" w:hAnsi="Arial" w:cs="Arial"/>
          <w:b/>
          <w:sz w:val="24"/>
          <w:szCs w:val="24"/>
        </w:rPr>
      </w:pPr>
      <w:r>
        <w:rPr>
          <w:rFonts w:ascii="Arial" w:hAnsi="Arial" w:cs="Arial"/>
          <w:b/>
          <w:sz w:val="24"/>
          <w:szCs w:val="24"/>
        </w:rPr>
        <w:t>REFERÊNCIAS</w:t>
      </w:r>
      <w:r>
        <w:rPr>
          <w:rFonts w:ascii="Arial" w:hAnsi="Arial" w:cs="Arial"/>
          <w:b/>
          <w:sz w:val="24"/>
          <w:szCs w:val="24"/>
        </w:rPr>
        <w:t>:</w:t>
      </w:r>
    </w:p>
    <w:p w:rsidR="00000000" w:rsidRDefault="00B27316">
      <w:pPr>
        <w:spacing w:line="240" w:lineRule="auto"/>
        <w:jc w:val="both"/>
        <w:rPr>
          <w:rFonts w:ascii="Arial" w:hAnsi="Arial" w:cs="Arial"/>
        </w:rPr>
      </w:pPr>
      <w:r>
        <w:rPr>
          <w:rFonts w:ascii="Arial" w:hAnsi="Arial" w:cs="Arial"/>
        </w:rPr>
        <w:t xml:space="preserve">BRASIL. Ministério da Saúde. </w:t>
      </w:r>
      <w:r>
        <w:rPr>
          <w:rFonts w:ascii="Arial" w:hAnsi="Arial" w:cs="Arial"/>
          <w:b/>
          <w:bCs/>
        </w:rPr>
        <w:t>Política Nacional de Atenção Integral à Saúde da Mulher.</w:t>
      </w:r>
      <w:r>
        <w:rPr>
          <w:rFonts w:ascii="Arial" w:hAnsi="Arial" w:cs="Arial"/>
        </w:rPr>
        <w:t xml:space="preserve"> Brasília, DF: MS, </w:t>
      </w:r>
      <w:r>
        <w:rPr>
          <w:rFonts w:ascii="Arial" w:hAnsi="Arial" w:cs="Arial"/>
        </w:rPr>
        <w:t xml:space="preserve">2011. </w:t>
      </w:r>
    </w:p>
    <w:p w:rsidR="00000000" w:rsidRDefault="00B27316">
      <w:pPr>
        <w:spacing w:line="240" w:lineRule="auto"/>
        <w:jc w:val="both"/>
        <w:rPr>
          <w:rFonts w:ascii="Arial" w:hAnsi="Arial" w:cs="Arial"/>
        </w:rPr>
      </w:pPr>
    </w:p>
    <w:p w:rsidR="00000000" w:rsidRDefault="00B27316">
      <w:pPr>
        <w:spacing w:line="240" w:lineRule="auto"/>
        <w:jc w:val="both"/>
        <w:rPr>
          <w:rFonts w:ascii="Arial" w:hAnsi="Arial" w:cs="Arial"/>
        </w:rPr>
      </w:pPr>
      <w:r>
        <w:rPr>
          <w:rFonts w:ascii="Arial" w:hAnsi="Arial" w:cs="Arial"/>
        </w:rPr>
        <w:t>BRITO, Roseane. (2012). A experiência da COPIR abordando as expressões afro religiosa na implementação da lei 10639/03 no estado do Pará. </w:t>
      </w:r>
      <w:r>
        <w:rPr>
          <w:rFonts w:ascii="Arial" w:hAnsi="Arial" w:cs="Arial"/>
          <w:i/>
          <w:iCs/>
        </w:rPr>
        <w:t>Anais Dos Simpósios Da ABHR</w:t>
      </w:r>
      <w:r>
        <w:rPr>
          <w:rFonts w:ascii="Arial" w:hAnsi="Arial" w:cs="Arial"/>
        </w:rPr>
        <w:t>, </w:t>
      </w:r>
      <w:r>
        <w:rPr>
          <w:rFonts w:ascii="Arial" w:hAnsi="Arial" w:cs="Arial"/>
          <w:i/>
          <w:iCs/>
        </w:rPr>
        <w:t>13</w:t>
      </w:r>
      <w:r>
        <w:rPr>
          <w:rFonts w:ascii="Arial" w:hAnsi="Arial" w:cs="Arial"/>
        </w:rPr>
        <w:t xml:space="preserve">. Recuperado de </w:t>
      </w:r>
      <w:hyperlink r:id="rId10" w:history="1">
        <w:r>
          <w:rPr>
            <w:rStyle w:val="Hyperlink"/>
            <w:rFonts w:ascii="Arial" w:hAnsi="Arial" w:cs="Arial"/>
          </w:rPr>
          <w:t>https://revistaplura.emnuvens.com.br/anais/article/view/500</w:t>
        </w:r>
      </w:hyperlink>
    </w:p>
    <w:p w:rsidR="00000000" w:rsidRDefault="00B27316">
      <w:pPr>
        <w:spacing w:line="240" w:lineRule="auto"/>
        <w:jc w:val="both"/>
        <w:rPr>
          <w:rFonts w:ascii="Arial" w:hAnsi="Arial" w:cs="Arial"/>
        </w:rPr>
      </w:pPr>
    </w:p>
    <w:p w:rsidR="00000000" w:rsidRDefault="00B27316">
      <w:pPr>
        <w:spacing w:line="240" w:lineRule="auto"/>
        <w:jc w:val="both"/>
        <w:rPr>
          <w:rFonts w:ascii="Arial" w:hAnsi="Arial"/>
        </w:rPr>
      </w:pPr>
      <w:r>
        <w:rPr>
          <w:rFonts w:ascii="Arial" w:hAnsi="Arial"/>
        </w:rPr>
        <w:t>CARVALHO, José J. de. O Confinamento Racial do Mundo Acadêmico Brasileiro. REVISTA USP, São Paulo, n.68, p. 88-103, dezembro/fevereiro 2005-2006. Disponível em:   Acesso em 30 jun, 2</w:t>
      </w:r>
      <w:r>
        <w:rPr>
          <w:rFonts w:ascii="Arial" w:hAnsi="Arial"/>
        </w:rPr>
        <w:t>025.</w:t>
      </w:r>
    </w:p>
    <w:p w:rsidR="00000000" w:rsidRDefault="00B27316">
      <w:pPr>
        <w:spacing w:line="240" w:lineRule="auto"/>
        <w:jc w:val="both"/>
        <w:rPr>
          <w:rFonts w:ascii="Arial" w:hAnsi="Arial"/>
        </w:rPr>
      </w:pPr>
    </w:p>
    <w:p w:rsidR="00000000" w:rsidRDefault="00B27316">
      <w:pPr>
        <w:spacing w:line="240" w:lineRule="auto"/>
        <w:jc w:val="both"/>
        <w:rPr>
          <w:rFonts w:ascii="Arial" w:hAnsi="Arial" w:cs="Arial"/>
        </w:rPr>
      </w:pPr>
      <w:r>
        <w:rPr>
          <w:rFonts w:ascii="Arial" w:hAnsi="Arial" w:cs="Arial"/>
        </w:rPr>
        <w:t xml:space="preserve">CONCEIÇÃO, Domingos. </w:t>
      </w:r>
      <w:r>
        <w:rPr>
          <w:rFonts w:ascii="Arial" w:hAnsi="Arial" w:cs="Arial"/>
          <w:b/>
        </w:rPr>
        <w:t>Movimento Negro Em Belém: Ação Coletiva De Combate Ao Racismo E Defesa De Negras E Negros</w:t>
      </w:r>
      <w:r>
        <w:rPr>
          <w:rFonts w:ascii="Arial" w:hAnsi="Arial" w:cs="Arial"/>
        </w:rPr>
        <w:t xml:space="preserve">. Dissertação (Mestrado em Serviço Social) - Universidade Federal do Pará, Belém, 2017. Disponível em: </w:t>
      </w:r>
      <w:hyperlink r:id="rId11">
        <w:r>
          <w:rPr>
            <w:rFonts w:ascii="Arial" w:hAnsi="Arial" w:cs="Arial"/>
          </w:rPr>
          <w:t>https://www.ppgss.propesp.ufpa.br/ARQUIVOS/DISSERTA%C3%87%C3%83O%20DOMINGOS%20CONCEI%C3%87%C3%83O.pdf</w:t>
        </w:r>
      </w:hyperlink>
      <w:r>
        <w:rPr>
          <w:rFonts w:ascii="Arial" w:hAnsi="Arial" w:cs="Arial"/>
        </w:rPr>
        <w:t>. Acesso em: 25  jun. 2025.</w:t>
      </w:r>
    </w:p>
    <w:p w:rsidR="00000000" w:rsidRDefault="00B27316">
      <w:pPr>
        <w:spacing w:line="240" w:lineRule="auto"/>
        <w:jc w:val="both"/>
        <w:rPr>
          <w:rFonts w:ascii="Arial" w:hAnsi="Arial" w:cs="Arial"/>
        </w:rPr>
      </w:pPr>
    </w:p>
    <w:p w:rsidR="00000000" w:rsidRDefault="00B27316">
      <w:pPr>
        <w:spacing w:line="240" w:lineRule="auto"/>
        <w:jc w:val="both"/>
        <w:rPr>
          <w:rFonts w:ascii="Arial" w:hAnsi="Arial" w:cs="Arial"/>
        </w:rPr>
      </w:pPr>
      <w:r>
        <w:rPr>
          <w:rFonts w:ascii="Arial" w:hAnsi="Arial" w:cs="Arial"/>
        </w:rPr>
        <w:t>CONRADO, Mônica P. ENTREVISTA: FÁTIMA MATO</w:t>
      </w:r>
      <w:r>
        <w:rPr>
          <w:rFonts w:ascii="Arial" w:hAnsi="Arial" w:cs="Arial"/>
        </w:rPr>
        <w:t>S, ATIVISTA NEGRA AMAZÔNIDA DO CEDENPA. Revista da Associação Brasileira de Pesquisadores/as Negros/as (ABPN), [S. l.], v. 14, n. Ed. Especi, p. 139–158, 2022. Disponível em: &lt;https://abpnrevista.org.br/site/article/view/1422&gt;. Acesso em: 27 maio 2025.</w:t>
      </w:r>
    </w:p>
    <w:p w:rsidR="00000000" w:rsidRDefault="00B27316">
      <w:pPr>
        <w:spacing w:before="240" w:after="240" w:line="240" w:lineRule="auto"/>
        <w:jc w:val="both"/>
        <w:rPr>
          <w:rFonts w:ascii="Arial" w:hAnsi="Arial" w:cs="Arial"/>
        </w:rPr>
      </w:pPr>
      <w:r>
        <w:rPr>
          <w:rFonts w:ascii="Arial" w:hAnsi="Arial" w:cs="Arial"/>
        </w:rPr>
        <w:t>DAM</w:t>
      </w:r>
      <w:r>
        <w:rPr>
          <w:rFonts w:ascii="Arial" w:hAnsi="Arial" w:cs="Arial"/>
        </w:rPr>
        <w:t xml:space="preserve">ASCENO, Cintia C. C. </w:t>
      </w:r>
      <w:r>
        <w:rPr>
          <w:rFonts w:ascii="Arial" w:hAnsi="Arial" w:cs="Arial"/>
          <w:b/>
        </w:rPr>
        <w:t xml:space="preserve">Educação E Relações Étnico-Raciais Na Perspectiva De Militantes Do Movimento Negro Da Cidade De Belém. </w:t>
      </w:r>
      <w:r>
        <w:rPr>
          <w:rFonts w:ascii="Arial" w:hAnsi="Arial" w:cs="Arial"/>
        </w:rPr>
        <w:t>Dissertação (Mestrado em Ciências da Educação) - Universidade Federal do Pará (UFPA), 2011. Disponível em: https://ppgedufpa.com.br/</w:t>
      </w:r>
      <w:r>
        <w:rPr>
          <w:rFonts w:ascii="Arial" w:hAnsi="Arial" w:cs="Arial"/>
        </w:rPr>
        <w:t>bv/arquivos/File/dissertcintiadamasceno.pdf. Acesso em: 25 jun. 2025.</w:t>
      </w:r>
    </w:p>
    <w:p w:rsidR="00000000" w:rsidRDefault="00B27316">
      <w:pPr>
        <w:spacing w:before="240" w:after="240" w:line="240" w:lineRule="auto"/>
        <w:jc w:val="both"/>
        <w:rPr>
          <w:rFonts w:ascii="Arial" w:hAnsi="Arial" w:cs="Arial"/>
          <w:bCs/>
          <w:sz w:val="24"/>
          <w:szCs w:val="24"/>
        </w:rPr>
      </w:pPr>
      <w:r>
        <w:rPr>
          <w:rFonts w:ascii="Arial" w:hAnsi="Arial" w:cs="Arial"/>
        </w:rPr>
        <w:t xml:space="preserve">EVARISTO, Conceição. </w:t>
      </w:r>
      <w:r>
        <w:rPr>
          <w:rFonts w:ascii="Arial" w:hAnsi="Arial" w:cs="Arial"/>
          <w:b/>
          <w:bCs/>
        </w:rPr>
        <w:t>Becos da Memória</w:t>
      </w:r>
      <w:r>
        <w:rPr>
          <w:rFonts w:ascii="Arial" w:hAnsi="Arial" w:cs="Arial"/>
        </w:rPr>
        <w:t>. Rio de Janeiro: Pallas, 2018.</w:t>
      </w:r>
    </w:p>
    <w:p w:rsidR="00000000" w:rsidRDefault="00B27316">
      <w:pPr>
        <w:pStyle w:val="NormalWeb"/>
        <w:spacing w:before="0" w:beforeAutospacing="0" w:after="0" w:afterAutospacing="0"/>
        <w:jc w:val="both"/>
        <w:rPr>
          <w:rFonts w:ascii="Arial" w:hAnsi="Arial" w:cs="Arial"/>
          <w:color w:val="000000"/>
          <w:sz w:val="24"/>
        </w:rPr>
      </w:pPr>
      <w:r>
        <w:rPr>
          <w:rFonts w:ascii="Arial" w:hAnsi="Arial" w:cs="Arial"/>
          <w:color w:val="000000"/>
          <w:sz w:val="24"/>
        </w:rPr>
        <w:t>FANON, Frantz. Pele negra, máscaras brancas. Tradução de Renato da Silveira. Salvador: EDUFBA, 2008.</w:t>
      </w:r>
    </w:p>
    <w:p w:rsidR="00000000" w:rsidRDefault="00B27316">
      <w:pPr>
        <w:pStyle w:val="NormalWeb"/>
        <w:spacing w:before="0" w:beforeAutospacing="0" w:after="0" w:afterAutospacing="0"/>
        <w:jc w:val="both"/>
        <w:rPr>
          <w:rFonts w:ascii="Arial" w:hAnsi="Arial" w:cs="Arial"/>
          <w:color w:val="000000"/>
          <w:sz w:val="24"/>
        </w:rPr>
      </w:pPr>
    </w:p>
    <w:p w:rsidR="00000000" w:rsidRDefault="00B27316">
      <w:pPr>
        <w:spacing w:line="240" w:lineRule="auto"/>
        <w:jc w:val="both"/>
        <w:rPr>
          <w:rFonts w:ascii="Arial" w:hAnsi="Arial" w:cs="Arial"/>
        </w:rPr>
      </w:pPr>
      <w:r>
        <w:rPr>
          <w:rFonts w:ascii="Arial" w:hAnsi="Arial" w:cs="Arial"/>
        </w:rPr>
        <w:t>GOMES, Nilma L.</w:t>
      </w:r>
      <w:r>
        <w:rPr>
          <w:rFonts w:ascii="Arial" w:hAnsi="Arial" w:cs="Arial"/>
        </w:rPr>
        <w:t xml:space="preserve">; RODRIGUES, Tatiane C. Resistência Democrática: a questão racial e a Constituição Federal de 1988. </w:t>
      </w:r>
      <w:r>
        <w:rPr>
          <w:rFonts w:ascii="Arial" w:hAnsi="Arial" w:cs="Arial"/>
          <w:b/>
          <w:bCs/>
        </w:rPr>
        <w:t>Educ. Soc</w:t>
      </w:r>
      <w:r>
        <w:rPr>
          <w:rFonts w:ascii="Arial" w:hAnsi="Arial" w:cs="Arial"/>
        </w:rPr>
        <w:t xml:space="preserve">., Campinas, v. 39, nº. 145, p.928-945, out.-dez., 2018. Disponível em: </w:t>
      </w:r>
      <w:hyperlink r:id="rId12" w:history="1">
        <w:r>
          <w:rPr>
            <w:rStyle w:val="Hyperlink"/>
            <w:rFonts w:ascii="Arial" w:hAnsi="Arial" w:cs="Arial"/>
            <w:color w:val="auto"/>
          </w:rPr>
          <w:t>https:</w:t>
        </w:r>
        <w:r>
          <w:rPr>
            <w:rStyle w:val="Hyperlink"/>
            <w:rFonts w:ascii="Arial" w:hAnsi="Arial" w:cs="Arial"/>
            <w:color w:val="auto"/>
          </w:rPr>
          <w:t>//www.scielo.br/j/es/a/LF9R5KRdpnDkCSRvDjmWyfL/</w:t>
        </w:r>
      </w:hyperlink>
      <w:r>
        <w:rPr>
          <w:rFonts w:ascii="Arial" w:hAnsi="Arial" w:cs="Arial"/>
        </w:rPr>
        <w:t>. Acesso em 30 jun de 2025.</w:t>
      </w:r>
    </w:p>
    <w:p w:rsidR="00000000" w:rsidRDefault="00B27316">
      <w:pPr>
        <w:pStyle w:val="NormalWeb"/>
        <w:spacing w:before="0" w:beforeAutospacing="0" w:after="0" w:afterAutospacing="0"/>
        <w:jc w:val="both"/>
        <w:rPr>
          <w:rFonts w:ascii="Arial" w:hAnsi="Arial" w:cs="Arial"/>
          <w:color w:val="000000"/>
          <w:sz w:val="24"/>
        </w:rPr>
      </w:pPr>
    </w:p>
    <w:p w:rsidR="00000000" w:rsidRDefault="00B27316">
      <w:pPr>
        <w:spacing w:line="240" w:lineRule="auto"/>
        <w:jc w:val="both"/>
        <w:rPr>
          <w:rFonts w:ascii="Arial" w:hAnsi="Arial" w:cs="Arial"/>
        </w:rPr>
      </w:pPr>
      <w:r>
        <w:rPr>
          <w:rFonts w:ascii="Arial" w:hAnsi="Arial" w:cs="Arial"/>
        </w:rPr>
        <w:t xml:space="preserve">GONZÁLEZ, Lélia. </w:t>
      </w:r>
      <w:r>
        <w:rPr>
          <w:rFonts w:ascii="Arial" w:hAnsi="Arial" w:cs="Arial"/>
          <w:b/>
          <w:bCs/>
        </w:rPr>
        <w:t xml:space="preserve">Por um Feminismo Afro-Latino-Americano: ensaios, intervenções e diálogos </w:t>
      </w:r>
      <w:r>
        <w:rPr>
          <w:rFonts w:ascii="Arial" w:hAnsi="Arial" w:cs="Arial"/>
        </w:rPr>
        <w:t>/ organização Flávia Rios, Márcia Lima. Rio de Janeiro: Zahar, 2020.</w:t>
      </w:r>
    </w:p>
    <w:p w:rsidR="00000000" w:rsidRDefault="00B27316">
      <w:pPr>
        <w:spacing w:line="240" w:lineRule="auto"/>
        <w:jc w:val="both"/>
        <w:rPr>
          <w:rFonts w:ascii="Arial" w:hAnsi="Arial" w:cs="Arial"/>
        </w:rPr>
      </w:pPr>
      <w:r>
        <w:rPr>
          <w:rFonts w:ascii="Arial" w:hAnsi="Arial" w:cs="Arial"/>
        </w:rPr>
        <w:t xml:space="preserve">MUNANGA, Kabengele. </w:t>
      </w:r>
      <w:r>
        <w:rPr>
          <w:rFonts w:ascii="Arial" w:hAnsi="Arial" w:cs="Arial"/>
        </w:rPr>
        <w:t xml:space="preserve">Nosso racismo é um crime perfeito. </w:t>
      </w:r>
      <w:r>
        <w:rPr>
          <w:rFonts w:ascii="Arial" w:hAnsi="Arial" w:cs="Arial"/>
          <w:b/>
          <w:bCs/>
        </w:rPr>
        <w:t>Fundação Perseu Abramo – Partido dos Trabalhadores</w:t>
      </w:r>
      <w:r>
        <w:rPr>
          <w:rFonts w:ascii="Arial" w:hAnsi="Arial" w:cs="Arial"/>
        </w:rPr>
        <w:t xml:space="preserve">. 2010. Disponível em: </w:t>
      </w:r>
      <w:hyperlink r:id="rId13" w:history="1">
        <w:r>
          <w:rPr>
            <w:rStyle w:val="Hyperlink"/>
            <w:rFonts w:ascii="Arial" w:hAnsi="Arial" w:cs="Arial"/>
          </w:rPr>
          <w:t>https://fpabramo.org.br/2010/</w:t>
        </w:r>
        <w:r>
          <w:rPr>
            <w:rStyle w:val="Hyperlink"/>
            <w:rFonts w:ascii="Arial" w:hAnsi="Arial" w:cs="Arial"/>
          </w:rPr>
          <w:t>09/08/nosso-racismo-e-um-crime-perfeito-entrevista-com-kabengele-munanga/.</w:t>
        </w:r>
      </w:hyperlink>
    </w:p>
    <w:p w:rsidR="00000000" w:rsidRDefault="00B27316">
      <w:pPr>
        <w:spacing w:line="240" w:lineRule="auto"/>
        <w:jc w:val="both"/>
        <w:rPr>
          <w:rFonts w:ascii="Arial" w:hAnsi="Arial" w:cs="Arial"/>
        </w:rPr>
      </w:pPr>
    </w:p>
    <w:p w:rsidR="00000000" w:rsidRDefault="00B27316">
      <w:pPr>
        <w:pStyle w:val="Default"/>
        <w:jc w:val="both"/>
        <w:rPr>
          <w:rFonts w:ascii="Arial" w:hAnsi="Arial" w:cs="Arial"/>
        </w:rPr>
      </w:pPr>
      <w:r>
        <w:rPr>
          <w:rFonts w:ascii="Arial" w:hAnsi="Arial" w:cs="Arial"/>
        </w:rPr>
        <w:t>OSHAI, Cristina M. A.; NUNES, Maria L. de C.; CARNEIRO, Maria J. A. Tecnologias Ancestrais para a Sustentabilidade Socioambiental na Educação Escolar Quilombola. Belém: IFPA, 2024</w:t>
      </w:r>
      <w:r>
        <w:rPr>
          <w:rFonts w:ascii="Arial" w:hAnsi="Arial" w:cs="Arial"/>
        </w:rPr>
        <w:t xml:space="preserve">. </w:t>
      </w:r>
    </w:p>
    <w:p w:rsidR="00000000" w:rsidRDefault="00B27316">
      <w:pPr>
        <w:spacing w:line="240" w:lineRule="auto"/>
      </w:pPr>
    </w:p>
    <w:p w:rsidR="00000000" w:rsidRDefault="00B27316">
      <w:pPr>
        <w:pStyle w:val="NormalWeb"/>
        <w:spacing w:before="0" w:beforeAutospacing="0" w:after="0" w:afterAutospacing="0"/>
        <w:jc w:val="both"/>
        <w:rPr>
          <w:rFonts w:ascii="Arial" w:hAnsi="Arial" w:cs="Arial"/>
          <w:color w:val="000000"/>
          <w:sz w:val="24"/>
        </w:rPr>
      </w:pPr>
      <w:r>
        <w:rPr>
          <w:rFonts w:ascii="Arial" w:hAnsi="Arial" w:cs="Arial"/>
          <w:color w:val="000000"/>
          <w:sz w:val="24"/>
        </w:rPr>
        <w:t xml:space="preserve">PIRES, Thula. Racializando o debate sobre direitos humanos: limites e possibilidades da criminalização do racismo no Brasil. Sur – </w:t>
      </w:r>
      <w:r>
        <w:rPr>
          <w:rFonts w:ascii="Arial" w:hAnsi="Arial" w:cs="Arial"/>
          <w:i/>
          <w:iCs/>
          <w:color w:val="000000"/>
          <w:sz w:val="24"/>
        </w:rPr>
        <w:t>Revista Internacional de Direitos Humanos</w:t>
      </w:r>
      <w:r>
        <w:rPr>
          <w:rFonts w:ascii="Arial" w:hAnsi="Arial" w:cs="Arial"/>
          <w:color w:val="000000"/>
          <w:sz w:val="24"/>
        </w:rPr>
        <w:t>, São Paulo, v. 15, n. 28, p. 65-75, 2018.</w:t>
      </w:r>
    </w:p>
    <w:p w:rsidR="00000000" w:rsidRDefault="00B27316">
      <w:pPr>
        <w:pStyle w:val="NormalWeb"/>
        <w:spacing w:before="0" w:beforeAutospacing="0" w:after="0" w:afterAutospacing="0"/>
        <w:jc w:val="both"/>
        <w:rPr>
          <w:rFonts w:ascii="Arial" w:hAnsi="Arial" w:cs="Arial"/>
          <w:color w:val="000000"/>
          <w:sz w:val="24"/>
        </w:rPr>
      </w:pPr>
    </w:p>
    <w:p w:rsidR="00000000" w:rsidRDefault="00B27316">
      <w:pPr>
        <w:spacing w:line="240" w:lineRule="auto"/>
        <w:jc w:val="both"/>
        <w:rPr>
          <w:rFonts w:ascii="Arial" w:hAnsi="Arial" w:cs="Arial"/>
        </w:rPr>
      </w:pPr>
      <w:r>
        <w:rPr>
          <w:rFonts w:ascii="Arial" w:hAnsi="Arial" w:cs="Arial"/>
        </w:rPr>
        <w:t xml:space="preserve">SENADO FEDERAL </w:t>
      </w:r>
      <w:hyperlink r:id="rId14" w:history="1">
        <w:r>
          <w:rPr>
            <w:rStyle w:val="Hyperlink"/>
            <w:rFonts w:ascii="Arial" w:hAnsi="Arial" w:cs="Arial"/>
          </w:rPr>
          <w:t>https://www2.senado.leg.br/bdsf/bitstream/handle/id/115567/1986_NOVEMBRO_029.pdf?sequence=1&amp;isAllowed=y</w:t>
        </w:r>
      </w:hyperlink>
    </w:p>
    <w:p w:rsidR="00000000" w:rsidRDefault="00B27316">
      <w:pPr>
        <w:pStyle w:val="Default"/>
        <w:jc w:val="both"/>
        <w:rPr>
          <w:rFonts w:ascii="Arial" w:hAnsi="Arial" w:cs="Arial"/>
        </w:rPr>
      </w:pPr>
    </w:p>
    <w:p w:rsidR="00000000" w:rsidRDefault="00B27316">
      <w:pPr>
        <w:pStyle w:val="Default"/>
        <w:jc w:val="both"/>
        <w:rPr>
          <w:rFonts w:ascii="Arial" w:hAnsi="Arial" w:cs="Arial"/>
        </w:rPr>
      </w:pPr>
      <w:r>
        <w:rPr>
          <w:rFonts w:ascii="Arial" w:hAnsi="Arial" w:cs="Arial"/>
        </w:rPr>
        <w:t xml:space="preserve">WAISELFISZ, Júlio J. </w:t>
      </w:r>
      <w:r>
        <w:rPr>
          <w:rFonts w:ascii="Arial" w:hAnsi="Arial" w:cs="Arial"/>
          <w:b/>
          <w:bCs/>
        </w:rPr>
        <w:t>Mortes Matadas por Arma de Fogo</w:t>
      </w:r>
      <w:r>
        <w:rPr>
          <w:rFonts w:ascii="Arial" w:hAnsi="Arial" w:cs="Arial"/>
          <w:b/>
          <w:bCs/>
        </w:rPr>
        <w:t xml:space="preserve"> – Mapa da Violência</w:t>
      </w:r>
      <w:r>
        <w:rPr>
          <w:rFonts w:ascii="Arial" w:hAnsi="Arial" w:cs="Arial"/>
        </w:rPr>
        <w:t>. Brasília: Secretaria-Geral da Presidência da República; Secretaria Nacional de Juventude Secretaria de Políticas de Promoção da Igualdade Racial, 2015.</w:t>
      </w:r>
    </w:p>
    <w:p w:rsidR="00000000" w:rsidRDefault="00B27316">
      <w:pPr>
        <w:pStyle w:val="NormalWeb"/>
        <w:spacing w:before="0" w:beforeAutospacing="0" w:after="0" w:afterAutospacing="0"/>
        <w:jc w:val="both"/>
        <w:rPr>
          <w:rFonts w:ascii="Arial" w:hAnsi="Arial" w:cs="Arial"/>
          <w:color w:val="000000"/>
          <w:sz w:val="24"/>
        </w:rPr>
      </w:pPr>
    </w:p>
    <w:p w:rsidR="00000000" w:rsidRDefault="00B27316">
      <w:pPr>
        <w:spacing w:after="240" w:line="240" w:lineRule="auto"/>
      </w:pPr>
    </w:p>
    <w:sectPr w:rsidR="00000000">
      <w:headerReference w:type="default" r:id="rId15"/>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27316">
      <w:pPr>
        <w:spacing w:line="240" w:lineRule="auto"/>
      </w:pPr>
      <w:r>
        <w:separator/>
      </w:r>
    </w:p>
  </w:endnote>
  <w:endnote w:type="continuationSeparator" w:id="0">
    <w:p w:rsidR="00000000" w:rsidRDefault="00B273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27316">
      <w:pPr>
        <w:spacing w:line="240" w:lineRule="auto"/>
      </w:pPr>
      <w:r>
        <w:separator/>
      </w:r>
    </w:p>
  </w:footnote>
  <w:footnote w:type="continuationSeparator" w:id="0">
    <w:p w:rsidR="00000000" w:rsidRDefault="00B273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27316">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2049" type="#_x0000_t75" style="position:absolute;margin-left:0;margin-top:.55pt;width:595.55pt;height:844.7pt;z-index:-251658752;mso-wrap-style:square;mso-wrap-distance-top:9pt;mso-wrap-distance-bottom:9pt;mso-position-horizontal-relative:page;mso-position-vertical-relative:page">
          <v:imagedata r:id="rId1" o:title=""/>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42FA7"/>
    <w:multiLevelType w:val="multilevel"/>
    <w:tmpl w:val="0E742FA7"/>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E14DD7"/>
    <w:multiLevelType w:val="singleLevel"/>
    <w:tmpl w:val="2AE14DD7"/>
    <w:lvl w:ilvl="0">
      <w:start w:val="1"/>
      <w:numFmt w:val="decimal"/>
      <w:lvlText w:val="%1."/>
      <w:lvlJc w:val="left"/>
      <w:pPr>
        <w:tabs>
          <w:tab w:val="num" w:pos="425"/>
        </w:tabs>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oNotTrackMoves/>
  <w:defaultTabStop w:val="720"/>
  <w:hyphenationZone w:val="425"/>
  <w:noPunctuationKerning/>
  <w:characterSpacingControl w:val="doNotCompress"/>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F4348"/>
    <w:rsid w:val="00292980"/>
    <w:rsid w:val="002B22E3"/>
    <w:rsid w:val="004F776F"/>
    <w:rsid w:val="005C4655"/>
    <w:rsid w:val="00711AAD"/>
    <w:rsid w:val="00721D14"/>
    <w:rsid w:val="00A669C2"/>
    <w:rsid w:val="00B27316"/>
    <w:rsid w:val="00BB06AC"/>
    <w:rsid w:val="00BC7C70"/>
    <w:rsid w:val="00E64E46"/>
    <w:rsid w:val="00F2735F"/>
    <w:rsid w:val="00FF4348"/>
    <w:rsid w:val="0FDF77DF"/>
    <w:rsid w:val="19591217"/>
    <w:rsid w:val="1AC6630B"/>
    <w:rsid w:val="2563643F"/>
    <w:rsid w:val="2BA12B32"/>
    <w:rsid w:val="5C294FF8"/>
    <w:rsid w:val="60CD6EE9"/>
    <w:rsid w:val="66575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15:chartTrackingRefBased/>
  <w15:docId w15:val="{D20D22DC-B322-474F-97ED-93C628E56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sz w:val="22"/>
      <w:szCs w:val="22"/>
      <w:lang w:val="pt-BR" w:eastAsia="pt-BR"/>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qFormat/>
    <w:pPr>
      <w:keepNext/>
      <w:keepLines/>
      <w:spacing w:before="360" w:after="120"/>
      <w:outlineLvl w:val="1"/>
    </w:pPr>
    <w:rPr>
      <w:sz w:val="32"/>
      <w:szCs w:val="32"/>
    </w:rPr>
  </w:style>
  <w:style w:type="paragraph" w:styleId="Heading3">
    <w:name w:val="heading 3"/>
    <w:basedOn w:val="Normal"/>
    <w:next w:val="Normal"/>
    <w:uiPriority w:val="9"/>
    <w:qFormat/>
    <w:pPr>
      <w:keepNext/>
      <w:keepLines/>
      <w:spacing w:before="320" w:after="80"/>
      <w:outlineLvl w:val="2"/>
    </w:pPr>
    <w:rPr>
      <w:color w:val="434343"/>
      <w:sz w:val="28"/>
      <w:szCs w:val="28"/>
    </w:rPr>
  </w:style>
  <w:style w:type="paragraph" w:styleId="Heading4">
    <w:name w:val="heading 4"/>
    <w:basedOn w:val="Normal"/>
    <w:next w:val="Normal"/>
    <w:uiPriority w:val="9"/>
    <w:qFormat/>
    <w:pPr>
      <w:keepNext/>
      <w:keepLines/>
      <w:spacing w:before="280" w:after="80"/>
      <w:outlineLvl w:val="3"/>
    </w:pPr>
    <w:rPr>
      <w:color w:val="666666"/>
      <w:sz w:val="24"/>
      <w:szCs w:val="24"/>
    </w:rPr>
  </w:style>
  <w:style w:type="paragraph" w:styleId="Heading5">
    <w:name w:val="heading 5"/>
    <w:basedOn w:val="Normal"/>
    <w:next w:val="Normal"/>
    <w:uiPriority w:val="9"/>
    <w:qFormat/>
    <w:pPr>
      <w:keepNext/>
      <w:keepLines/>
      <w:spacing w:before="240" w:after="80"/>
      <w:outlineLvl w:val="4"/>
    </w:pPr>
    <w:rPr>
      <w:color w:val="666666"/>
    </w:rPr>
  </w:style>
  <w:style w:type="paragraph" w:styleId="Heading6">
    <w:name w:val="heading 6"/>
    <w:basedOn w:val="Normal"/>
    <w:next w:val="Normal"/>
    <w:uiPriority w:val="9"/>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000FF"/>
      <w:u w:val="single"/>
    </w:rPr>
  </w:style>
  <w:style w:type="paragraph" w:styleId="Title">
    <w:name w:val="Title"/>
    <w:basedOn w:val="Normal"/>
    <w:next w:val="Normal"/>
    <w:uiPriority w:val="10"/>
    <w:qFormat/>
    <w:pPr>
      <w:keepNext/>
      <w:keepLines/>
      <w:spacing w:after="60"/>
    </w:pPr>
    <w:rPr>
      <w:sz w:val="52"/>
      <w:szCs w:val="52"/>
    </w:rPr>
  </w:style>
  <w:style w:type="paragraph" w:styleId="NormalWeb">
    <w:name w:val="Normal (Web)"/>
    <w:uiPriority w:val="99"/>
    <w:unhideWhenUsed/>
    <w:pPr>
      <w:spacing w:before="100" w:beforeAutospacing="1" w:after="100" w:afterAutospacing="1"/>
    </w:pPr>
    <w:rPr>
      <w:szCs w:val="24"/>
      <w:lang w:eastAsia="zh-CN"/>
    </w:rPr>
  </w:style>
  <w:style w:type="paragraph" w:styleId="Header">
    <w:name w:val="header"/>
    <w:basedOn w:val="Normal"/>
    <w:link w:val="HeaderChar"/>
    <w:uiPriority w:val="99"/>
    <w:unhideWhenUsed/>
    <w:pPr>
      <w:tabs>
        <w:tab w:val="center" w:pos="4252"/>
        <w:tab w:val="right" w:pos="8504"/>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252"/>
        <w:tab w:val="right" w:pos="8504"/>
      </w:tabs>
      <w:spacing w:line="240" w:lineRule="auto"/>
    </w:pPr>
  </w:style>
  <w:style w:type="character" w:customStyle="1" w:styleId="FooterChar">
    <w:name w:val="Footer Char"/>
    <w:basedOn w:val="DefaultParagraphFont"/>
    <w:link w:val="Footer"/>
    <w:uiPriority w:val="99"/>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TableNormal1">
    <w:name w:val="Table Normal1"/>
    <w:pPr>
      <w:spacing w:line="276" w:lineRule="auto"/>
    </w:pPr>
    <w:rPr>
      <w:sz w:val="22"/>
      <w:szCs w:val="22"/>
      <w:lang w:val="pt-BR" w:eastAsia="pt-BR"/>
    </w:rPr>
    <w:tblPr>
      <w:tblCellMar>
        <w:top w:w="0" w:type="dxa"/>
        <w:left w:w="0" w:type="dxa"/>
        <w:bottom w:w="0" w:type="dxa"/>
        <w:right w:w="0" w:type="dxa"/>
      </w:tblCellMar>
    </w:tblPr>
  </w:style>
  <w:style w:type="paragraph" w:customStyle="1" w:styleId="Default">
    <w:name w:val="Default"/>
    <w:qFormat/>
    <w:pPr>
      <w:autoSpaceDE w:val="0"/>
      <w:autoSpaceDN w:val="0"/>
      <w:adjustRightInd w:val="0"/>
    </w:pPr>
    <w:rPr>
      <w:rFonts w:eastAsia="Calibri"/>
      <w:color w:val="000000"/>
      <w:sz w:val="24"/>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istinareda@ufpa.br" TargetMode="External"/><Relationship Id="rId13" Type="http://schemas.openxmlformats.org/officeDocument/2006/relationships/hyperlink" Target="https://fpabramo.org.br/2010/09/08/nosso-racismo-e-um-crime-perfeito-entrevista-com-kabengele-munanga/." TargetMode="External"/><Relationship Id="rId3" Type="http://schemas.openxmlformats.org/officeDocument/2006/relationships/settings" Target="settings.xml"/><Relationship Id="rId7" Type="http://schemas.openxmlformats.org/officeDocument/2006/relationships/hyperlink" Target="mailto:aishasousa2020@gmail.com" TargetMode="External"/><Relationship Id="rId12" Type="http://schemas.openxmlformats.org/officeDocument/2006/relationships/hyperlink" Target="https://www.scielo.br/j/es/a/LF9R5KRdpnDkCSRvDjmWyf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pgss.propesp.ufpa.br/ARQUIVOS/DISSERTA%C3%87%C3%83O%20DOMINGOS%20CONCEI%C3%87%C3%83O.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revistaplura.emnuvens.com.br/anais/article/view/500" TargetMode="External"/><Relationship Id="rId4" Type="http://schemas.openxmlformats.org/officeDocument/2006/relationships/webSettings" Target="webSettings.xml"/><Relationship Id="rId9" Type="http://schemas.openxmlformats.org/officeDocument/2006/relationships/hyperlink" Target="mailto:ruth.silva@ifch.ufpa.br" TargetMode="External"/><Relationship Id="rId14" Type="http://schemas.openxmlformats.org/officeDocument/2006/relationships/hyperlink" Target="https://www2.senado.leg.br/bdsf/bitstream/handle/id/115567/1986_NOVEMBRO_029.pdf?sequence=1&amp;isAllowe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4152</Words>
  <Characters>23672</Characters>
  <Application>Microsoft Office Word</Application>
  <DocSecurity>4</DocSecurity>
  <Lines>197</Lines>
  <Paragraphs>55</Paragraphs>
  <ScaleCrop>false</ScaleCrop>
  <Company/>
  <LinksUpToDate>false</LinksUpToDate>
  <CharactersWithSpaces>27769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word</cp:lastModifiedBy>
  <cp:revision>2</cp:revision>
  <dcterms:created xsi:type="dcterms:W3CDTF">2025-07-06T23:27:00Z</dcterms:created>
  <dcterms:modified xsi:type="dcterms:W3CDTF">2025-07-06T23:27:00Z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1046-12.2.0.21546</vt:lpwstr>
  </property>
  <property fmtid="{D5CDD505-2E9C-101B-9397-08002B2CF9AE}" pid="3" name="ICV">
    <vt:lpwstr>DDEE6D4791D74B2F827A2AF064F60462_12</vt:lpwstr>
  </property>
</Properties>
</file>