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BE5D4">
      <w:pPr>
        <w:spacing w:line="360" w:lineRule="auto"/>
        <w:ind w:firstLine="720"/>
        <w:jc w:val="center"/>
        <w:rPr>
          <w:rFonts w:hint="default" w:ascii="Arial" w:hAnsi="Arial" w:cs="Arial"/>
          <w:b/>
          <w:sz w:val="24"/>
          <w:szCs w:val="24"/>
        </w:rPr>
      </w:pPr>
      <w:r>
        <w:rPr>
          <w:rFonts w:hint="default" w:ascii="Arial" w:hAnsi="Arial" w:cs="Arial"/>
          <w:b/>
          <w:sz w:val="24"/>
          <w:szCs w:val="24"/>
        </w:rPr>
        <w:t>A ARBITRAGEM COMO INSTRUMENTO DE EFICIÊNCIA NA RESOLUÇÃO DE CONFLITOS NOS CONTRATOS ADMINISTRATIVOS.</w:t>
      </w:r>
    </w:p>
    <w:p w14:paraId="7F75418C">
      <w:pPr>
        <w:spacing w:line="240" w:lineRule="auto"/>
        <w:jc w:val="both"/>
        <w:rPr>
          <w:rFonts w:hint="default" w:ascii="Arial" w:hAnsi="Arial" w:cs="Arial"/>
          <w:b/>
          <w:sz w:val="20"/>
          <w:szCs w:val="20"/>
        </w:rPr>
      </w:pPr>
      <w:bookmarkStart w:id="0" w:name="_GoBack"/>
      <w:bookmarkEnd w:id="0"/>
    </w:p>
    <w:p w14:paraId="1442432A">
      <w:pPr>
        <w:spacing w:line="240" w:lineRule="auto"/>
        <w:ind w:left="2835"/>
        <w:jc w:val="both"/>
        <w:rPr>
          <w:rFonts w:hint="default" w:ascii="Arial" w:hAnsi="Arial" w:cs="Arial"/>
          <w:b/>
          <w:sz w:val="20"/>
          <w:szCs w:val="20"/>
        </w:rPr>
      </w:pPr>
      <w:r>
        <w:rPr>
          <w:rFonts w:hint="default" w:ascii="Arial" w:hAnsi="Arial" w:cs="Arial"/>
          <w:b/>
          <w:sz w:val="20"/>
          <w:szCs w:val="20"/>
        </w:rPr>
        <w:t>Resumo</w:t>
      </w:r>
    </w:p>
    <w:p w14:paraId="6C455E42">
      <w:pPr>
        <w:spacing w:line="240" w:lineRule="auto"/>
        <w:ind w:left="2835"/>
        <w:jc w:val="both"/>
        <w:rPr>
          <w:rFonts w:hint="default" w:ascii="Arial" w:hAnsi="Arial" w:cs="Arial"/>
          <w:bCs/>
          <w:sz w:val="20"/>
          <w:szCs w:val="20"/>
        </w:rPr>
      </w:pPr>
      <w:r>
        <w:rPr>
          <w:rFonts w:hint="default" w:ascii="Arial" w:hAnsi="Arial" w:cs="Arial"/>
          <w:bCs/>
          <w:sz w:val="20"/>
          <w:szCs w:val="20"/>
        </w:rPr>
        <w:t xml:space="preserve">O presente estudo analisa a arbitragem como instrumento eficiente para a resolução de conflitos em contratos administrativos, ressaltando sua celeridade, tecnicidade e eficácia. Tradicionalmente aplicada entre particulares, porém com a reforma da Lei nº 9.307/1996 pela Lei nº 13.129/2015, e da incorporação na Lei nº 14.133/2021, a arbitragem passou a ser admitida em litígios envolvendo direitos patrimoniais disponíveis. No entanto, surgem desafios para compatibilizar sua aplicação com os princípios constitucionais, notadamente no que tange à distinção entre interesses públicos primários (inarbitráveis) e secundários (arbitráveis). A pesquisa, de natureza qualitativa e documental, fundamenta-se em autores como Grau (2002) e Mello (2022), e identifica que, embora promova celeridade, especialização e redução de custos, sua adoção requer cautela diante dos princípios da legalidade, moralidade e supremacia do interesse público. Destacam-se, contudo, riscos relacionados ao enfraquecimento do controle estatal e à renúncia a prerrogativas públicas. Conclui-se que, observados critérios normativos e cláusulas bem formuladas, a arbitragem pode ser legitimamente utilizada pela Administração Pública, sem comprometer o controle e a transparência na gestão dos contratos. </w:t>
      </w:r>
    </w:p>
    <w:p w14:paraId="4664DB6F">
      <w:pPr>
        <w:spacing w:line="240" w:lineRule="auto"/>
        <w:ind w:left="2835"/>
        <w:jc w:val="both"/>
        <w:rPr>
          <w:rFonts w:hint="default" w:ascii="Arial" w:hAnsi="Arial" w:cs="Arial"/>
          <w:sz w:val="20"/>
          <w:szCs w:val="20"/>
        </w:rPr>
      </w:pPr>
      <w:r>
        <w:rPr>
          <w:rFonts w:hint="default" w:ascii="Arial" w:hAnsi="Arial" w:cs="Arial"/>
          <w:b/>
          <w:sz w:val="20"/>
          <w:szCs w:val="20"/>
        </w:rPr>
        <w:t>Palavras-chave</w:t>
      </w:r>
      <w:r>
        <w:rPr>
          <w:rFonts w:hint="default" w:ascii="Arial" w:hAnsi="Arial" w:cs="Arial"/>
          <w:sz w:val="20"/>
          <w:szCs w:val="20"/>
        </w:rPr>
        <w:t>: arbitragem; administração pública; contratos; resolução de conflitos.</w:t>
      </w:r>
    </w:p>
    <w:p w14:paraId="5BA7BB3E">
      <w:pPr>
        <w:spacing w:line="240" w:lineRule="auto"/>
        <w:ind w:left="2835"/>
        <w:jc w:val="both"/>
        <w:rPr>
          <w:rFonts w:hint="default" w:ascii="Arial" w:hAnsi="Arial" w:cs="Arial"/>
          <w:sz w:val="20"/>
          <w:szCs w:val="20"/>
        </w:rPr>
      </w:pPr>
    </w:p>
    <w:p w14:paraId="398DAB99">
      <w:pPr>
        <w:spacing w:line="240" w:lineRule="auto"/>
        <w:ind w:left="2835"/>
        <w:jc w:val="both"/>
        <w:rPr>
          <w:rFonts w:hint="default" w:ascii="Arial" w:hAnsi="Arial" w:cs="Arial"/>
          <w:b/>
          <w:sz w:val="20"/>
          <w:szCs w:val="20"/>
          <w:lang w:val="en-US"/>
        </w:rPr>
      </w:pPr>
      <w:r>
        <w:rPr>
          <w:rFonts w:hint="default" w:ascii="Arial" w:hAnsi="Arial" w:cs="Arial"/>
          <w:b/>
          <w:sz w:val="20"/>
          <w:szCs w:val="20"/>
          <w:lang w:val="en-US"/>
        </w:rPr>
        <w:t>Abstract</w:t>
      </w:r>
    </w:p>
    <w:p w14:paraId="25EF7C50">
      <w:pPr>
        <w:spacing w:line="240" w:lineRule="auto"/>
        <w:ind w:left="2835"/>
        <w:jc w:val="both"/>
        <w:rPr>
          <w:rFonts w:hint="default" w:ascii="Arial" w:hAnsi="Arial" w:cs="Arial"/>
          <w:sz w:val="20"/>
          <w:szCs w:val="20"/>
          <w:lang w:val="en-US"/>
        </w:rPr>
      </w:pPr>
      <w:r>
        <w:rPr>
          <w:rFonts w:hint="default" w:ascii="Arial" w:hAnsi="Arial" w:cs="Arial"/>
          <w:sz w:val="20"/>
          <w:szCs w:val="20"/>
          <w:lang w:val="en-US"/>
        </w:rPr>
        <w:t xml:space="preserve">This study analyzes arbitration as an efficient mechanism for resolving disputes in administrative contracts, emphasizing its speed, technicality, and effectiveness. Traditionally applied in private relations, arbitration became admissible in disputes involving disposable property rights following the reform of Law No. 9,307/1996 by Law No. 13,129/2015, and its incorporation into Law No. 14,133/2021. However, challenges persist in aligning its use with constitutional principles, particularly concerning the distinction between primary (non-arbitrable) and secondary (arbitrable) public interests. This qualitative and documentary research, grounded in authors such as Grau (2002) and Mello (2022), identifies that although arbitration promotes procedural agility, technical specialization, and cost reduction, its implementation requires caution in light of the principles of legality, morality, and the supremacy of public interest. Notably, it highlights risks associated with weakening state control and waiving public prerogatives. The study concludes that, if guided by normative criteria and well-drafted clauses, arbitration may be legitimately used by Public Administration without compromising contract oversight and transparency. </w:t>
      </w:r>
    </w:p>
    <w:p w14:paraId="241F47AF">
      <w:pPr>
        <w:spacing w:line="240" w:lineRule="auto"/>
        <w:ind w:left="2835"/>
        <w:jc w:val="both"/>
        <w:rPr>
          <w:rFonts w:hint="default" w:ascii="Arial" w:hAnsi="Arial" w:cs="Arial"/>
          <w:sz w:val="20"/>
          <w:szCs w:val="20"/>
          <w:lang w:val="en-US"/>
        </w:rPr>
      </w:pPr>
      <w:r>
        <w:rPr>
          <w:rFonts w:hint="default" w:ascii="Arial" w:hAnsi="Arial" w:cs="Arial"/>
          <w:b/>
          <w:sz w:val="20"/>
          <w:szCs w:val="20"/>
          <w:lang w:val="en-US"/>
        </w:rPr>
        <w:t>Keywords</w:t>
      </w:r>
      <w:r>
        <w:rPr>
          <w:rFonts w:hint="default" w:ascii="Arial" w:hAnsi="Arial" w:cs="Arial"/>
          <w:sz w:val="20"/>
          <w:szCs w:val="20"/>
          <w:lang w:val="en-US"/>
        </w:rPr>
        <w:t>: arbitration; public administration; contracts; conflict resolution.</w:t>
      </w:r>
    </w:p>
    <w:p w14:paraId="4ECEE162">
      <w:pPr>
        <w:spacing w:line="360" w:lineRule="auto"/>
        <w:rPr>
          <w:b/>
          <w:sz w:val="24"/>
          <w:szCs w:val="24"/>
        </w:rPr>
      </w:pPr>
    </w:p>
    <w:p w14:paraId="3B9D0186">
      <w:pPr>
        <w:spacing w:line="360" w:lineRule="auto"/>
        <w:rPr>
          <w:rFonts w:hint="default" w:ascii="Arial" w:hAnsi="Arial" w:cs="Arial"/>
          <w:b/>
          <w:sz w:val="24"/>
          <w:szCs w:val="24"/>
        </w:rPr>
      </w:pPr>
      <w:r>
        <w:rPr>
          <w:rFonts w:hint="default" w:ascii="Arial" w:hAnsi="Arial" w:cs="Arial"/>
          <w:b/>
          <w:sz w:val="24"/>
          <w:szCs w:val="24"/>
        </w:rPr>
        <w:t>1</w:t>
      </w:r>
      <w:r>
        <w:rPr>
          <w:rFonts w:hint="default" w:ascii="Arial" w:hAnsi="Arial" w:cs="Arial"/>
          <w:b/>
          <w:sz w:val="24"/>
          <w:szCs w:val="24"/>
        </w:rPr>
        <w:tab/>
      </w:r>
      <w:r>
        <w:rPr>
          <w:rFonts w:hint="default" w:ascii="Arial" w:hAnsi="Arial" w:cs="Arial"/>
          <w:b/>
          <w:sz w:val="24"/>
          <w:szCs w:val="24"/>
        </w:rPr>
        <w:t>INTRODUÇÃO</w:t>
      </w:r>
    </w:p>
    <w:p w14:paraId="11504AEC">
      <w:pPr>
        <w:spacing w:line="360" w:lineRule="auto"/>
        <w:jc w:val="both"/>
        <w:rPr>
          <w:sz w:val="24"/>
          <w:szCs w:val="24"/>
        </w:rPr>
      </w:pPr>
    </w:p>
    <w:p w14:paraId="50570006">
      <w:pPr>
        <w:spacing w:line="360" w:lineRule="auto"/>
        <w:ind w:firstLine="720"/>
        <w:jc w:val="both"/>
        <w:rPr>
          <w:rFonts w:hint="default" w:ascii="Arial" w:hAnsi="Arial" w:cs="Arial"/>
          <w:sz w:val="24"/>
          <w:szCs w:val="24"/>
        </w:rPr>
      </w:pPr>
      <w:r>
        <w:rPr>
          <w:rFonts w:hint="default" w:ascii="Arial" w:hAnsi="Arial" w:cs="Arial"/>
          <w:sz w:val="24"/>
          <w:szCs w:val="24"/>
        </w:rPr>
        <w:t>A Administração Pública, ao celebrar contratos para execução de obras, serviços ou fornecimento de bens, frequentemente se depara com litígios que comprometem a celeridade e a eficiência na realização de suas atividades. Nesse sentido, a arbitragem surge como um relevante mecanismo alternativo de resolução de conflitos, marcado pela celeridade, especialização e pela possibilidade de adaptação às peculiaridades contratuais. No entanto, sua aplicação no âmbito da Administração Pública brasileira foi por muito tempo objeto de resistência, principalmente devido aos princípios constitucionais que regem a atuação estatal, como legalidade, impessoalidade, moralidade, publicidade e eficiência, previstos no Artigo 37 da Constituição Federal.</w:t>
      </w:r>
    </w:p>
    <w:p w14:paraId="34A8BA2D">
      <w:pPr>
        <w:spacing w:line="360" w:lineRule="auto"/>
        <w:ind w:firstLine="720"/>
        <w:jc w:val="both"/>
        <w:rPr>
          <w:rFonts w:hint="default" w:ascii="Arial" w:hAnsi="Arial" w:cs="Arial"/>
          <w:sz w:val="24"/>
          <w:szCs w:val="24"/>
        </w:rPr>
      </w:pPr>
      <w:r>
        <w:rPr>
          <w:rFonts w:hint="default" w:ascii="Arial" w:hAnsi="Arial" w:cs="Arial"/>
          <w:sz w:val="24"/>
          <w:szCs w:val="24"/>
        </w:rPr>
        <w:t>A consolidação do uso da arbitragem pela Administração Pública ocorreu efetivamente com a reforma da Lei n.º 9.307/1996, pela Lei n.º 13.129/2015, que permitiu expressamente sua utilização para dirimir conflitos envolvendo direitos patrimoniais disponíveis. Ainda assim, persistem questionamentos acerca dos limites de sua aplicação no setor público, sobretudo no que tange à distinção entre interesses públicos primários (inarbitráveis) e secundários (arbitráveis).</w:t>
      </w:r>
    </w:p>
    <w:p w14:paraId="47FB1B93">
      <w:pPr>
        <w:spacing w:line="360" w:lineRule="auto"/>
        <w:ind w:firstLine="720"/>
        <w:jc w:val="both"/>
        <w:rPr>
          <w:rFonts w:hint="default" w:ascii="Arial" w:hAnsi="Arial" w:cs="Arial"/>
          <w:sz w:val="24"/>
          <w:szCs w:val="24"/>
        </w:rPr>
      </w:pPr>
      <w:r>
        <w:rPr>
          <w:rFonts w:hint="default" w:ascii="Arial" w:hAnsi="Arial" w:cs="Arial"/>
          <w:sz w:val="24"/>
          <w:szCs w:val="24"/>
        </w:rPr>
        <w:t>O uso da arbitragem nos contratos administrativos envolve não apenas a busca pela eficiência e racionalização dos processos de resolução de conflitos, mas também a necessidade de assegurar a proteção do interesse coletivo e o cumprimento dos princípios constitucionais. Dessa forma, a dificuldade reside justamente em conciliar a eficiência da arbitragem com as garantias institucionais que asseguram o controle e a transparência das atividades estatais.</w:t>
      </w:r>
    </w:p>
    <w:p w14:paraId="075DBE55">
      <w:pPr>
        <w:spacing w:line="360" w:lineRule="auto"/>
        <w:ind w:firstLine="720"/>
        <w:jc w:val="both"/>
        <w:rPr>
          <w:rFonts w:hint="default" w:ascii="Arial" w:hAnsi="Arial" w:cs="Arial"/>
          <w:sz w:val="24"/>
          <w:szCs w:val="24"/>
        </w:rPr>
      </w:pPr>
      <w:r>
        <w:rPr>
          <w:rFonts w:hint="default" w:ascii="Arial" w:hAnsi="Arial" w:cs="Arial"/>
          <w:sz w:val="24"/>
          <w:szCs w:val="24"/>
        </w:rPr>
        <w:t>Nesse cenário, o presente estudo tem como finalidade investigar a viabilidade jurídica da arbitragem no âmbito dos contratos administrativos, estabelecendo critérios para sua aplicação adequada. Para isso, serão analisados aspectos doutrinários e normativos, buscando compreender como a arbitragem pode ser utilizada pela Administração Pública sem comprometer os fundamentos constitucionais e sem atingir as prerrogativas públicas.</w:t>
      </w:r>
    </w:p>
    <w:p w14:paraId="325B73E2">
      <w:pPr>
        <w:spacing w:line="360" w:lineRule="auto"/>
        <w:ind w:firstLine="720"/>
        <w:jc w:val="both"/>
        <w:rPr>
          <w:rFonts w:hint="default" w:ascii="Arial" w:hAnsi="Arial" w:cs="Arial"/>
          <w:sz w:val="24"/>
          <w:szCs w:val="24"/>
        </w:rPr>
      </w:pPr>
      <w:r>
        <w:rPr>
          <w:rFonts w:hint="default" w:ascii="Arial" w:hAnsi="Arial" w:cs="Arial"/>
          <w:sz w:val="24"/>
          <w:szCs w:val="24"/>
        </w:rPr>
        <w:t>Nesta pesquisa, com abordagem bibliográfica e documental, o trabalho se propõe a examinar os riscos e as potencialidades do uso da arbitragem pelo Poder Público, considerando as reflexões de autores que discutem acerca desse meio alternativo de resolução de conflitos no setor público e os cuidados necessários para evitar problemas. Assim, pretende-se contribuir para a construção de parâmetros jurídicos sólidos, que possibilitem o uso responsável da arbitragem como instrumento de eficiência na resolução de conflitos envolvendo o Estado.</w:t>
      </w:r>
    </w:p>
    <w:p w14:paraId="797976FF">
      <w:pPr>
        <w:spacing w:line="360" w:lineRule="auto"/>
        <w:jc w:val="both"/>
        <w:rPr>
          <w:sz w:val="24"/>
          <w:szCs w:val="24"/>
        </w:rPr>
      </w:pPr>
    </w:p>
    <w:p w14:paraId="43D702EE">
      <w:pPr>
        <w:spacing w:line="360" w:lineRule="auto"/>
        <w:jc w:val="both"/>
        <w:rPr>
          <w:sz w:val="24"/>
          <w:szCs w:val="24"/>
        </w:rPr>
      </w:pPr>
    </w:p>
    <w:p w14:paraId="2A984CB0">
      <w:pPr>
        <w:spacing w:line="360" w:lineRule="auto"/>
        <w:jc w:val="both"/>
        <w:rPr>
          <w:sz w:val="24"/>
          <w:szCs w:val="24"/>
        </w:rPr>
      </w:pPr>
      <w:r>
        <w:rPr>
          <w:rFonts w:hint="default" w:ascii="Arial" w:hAnsi="Arial" w:cs="Arial"/>
          <w:b/>
          <w:sz w:val="24"/>
          <w:szCs w:val="24"/>
        </w:rPr>
        <w:t>2</w:t>
      </w:r>
      <w:r>
        <w:rPr>
          <w:rFonts w:hint="default" w:ascii="Arial" w:hAnsi="Arial" w:cs="Arial"/>
          <w:b/>
          <w:sz w:val="24"/>
          <w:szCs w:val="24"/>
        </w:rPr>
        <w:tab/>
      </w:r>
      <w:r>
        <w:rPr>
          <w:rFonts w:hint="default" w:ascii="Arial" w:hAnsi="Arial" w:cs="Arial"/>
          <w:b/>
          <w:sz w:val="24"/>
          <w:szCs w:val="24"/>
        </w:rPr>
        <w:t>PROBLEMA DE PESQUISA</w:t>
      </w:r>
    </w:p>
    <w:p w14:paraId="2987CA45">
      <w:pPr>
        <w:spacing w:line="360" w:lineRule="auto"/>
        <w:jc w:val="both"/>
        <w:rPr>
          <w:rFonts w:hint="default" w:ascii="Arial" w:hAnsi="Arial" w:cs="Arial"/>
          <w:sz w:val="24"/>
          <w:szCs w:val="24"/>
        </w:rPr>
      </w:pPr>
    </w:p>
    <w:p w14:paraId="0A85C20A">
      <w:pPr>
        <w:spacing w:line="360" w:lineRule="auto"/>
        <w:ind w:firstLine="720" w:firstLineChars="0"/>
        <w:jc w:val="both"/>
        <w:rPr>
          <w:rFonts w:hint="default" w:ascii="Arial" w:hAnsi="Arial" w:cs="Arial"/>
          <w:sz w:val="24"/>
          <w:szCs w:val="24"/>
        </w:rPr>
      </w:pPr>
      <w:r>
        <w:rPr>
          <w:rFonts w:hint="default" w:ascii="Arial" w:hAnsi="Arial" w:cs="Arial"/>
          <w:sz w:val="24"/>
          <w:szCs w:val="24"/>
        </w:rPr>
        <w:t>Com o surgimento da Lei nº 13.129/2015, a arbitragem passa a ganhar espaço nos contratos administrativos, esse avanço representa a busca por maior celeridade e eficiência na Administração Pública, seja ela direta ou indireta, tendo como objetivo dirimir conflitos relativos a direitos patrimoniais disponíveis, dessa forma, o Estado, em determinadas situações pode utilizar um mecanismo alternativo ao Judiciário. No entanto, essa inovação jurídica não está isenta de discussões, uma vez que, apesar do respaldo legal, subsistem dúvidas sobre a compatibilidade entre o uso da arbitragem e os princípios constitucionais que regem a Administração Pública, previstos no Art. 37 da Constituição Federal. Destarte, a principal preocupação reside na possibilidade de que a submissão de conflitos administrativos à jurisdição privada comprometa o controle público, a transparência e a supremacia do interesse coletivo.</w:t>
      </w:r>
    </w:p>
    <w:p w14:paraId="4871AD68">
      <w:pPr>
        <w:spacing w:line="360" w:lineRule="auto"/>
        <w:ind w:firstLine="709"/>
        <w:jc w:val="both"/>
        <w:rPr>
          <w:rFonts w:hint="default" w:ascii="Arial" w:hAnsi="Arial" w:cs="Arial"/>
          <w:sz w:val="24"/>
          <w:szCs w:val="24"/>
        </w:rPr>
      </w:pPr>
      <w:r>
        <w:rPr>
          <w:rFonts w:hint="default" w:ascii="Arial" w:hAnsi="Arial" w:cs="Arial"/>
          <w:sz w:val="24"/>
          <w:szCs w:val="24"/>
        </w:rPr>
        <w:t>Dessa maneira, essa controvérsia se acentua ao considerarmos que a Administração Pública lida com interesses públicos primários, inegociáveis e indisponíveis, ou seja, representam o interesse da coletividade, atuando como guardiã e não proprietária. Logo, surge, o questionamento: até que ponto é viável e constitucional a utilização da arbitragem nos contratos administrativos?</w:t>
      </w:r>
    </w:p>
    <w:p w14:paraId="4C165C53">
      <w:pPr>
        <w:spacing w:line="360" w:lineRule="auto"/>
        <w:ind w:firstLine="709"/>
        <w:jc w:val="both"/>
        <w:rPr>
          <w:rFonts w:hint="default" w:ascii="Arial" w:hAnsi="Arial" w:cs="Arial"/>
          <w:sz w:val="24"/>
          <w:szCs w:val="24"/>
        </w:rPr>
      </w:pPr>
      <w:r>
        <w:rPr>
          <w:rFonts w:hint="default" w:ascii="Arial" w:hAnsi="Arial" w:cs="Arial"/>
          <w:sz w:val="24"/>
          <w:szCs w:val="24"/>
        </w:rPr>
        <w:t xml:space="preserve">De mesmo modo, consoante Eros Roberto Grau, a aplicação da arbitragem em contratos administrativos exige uma reflexão sobre a própria natureza do poder público e de seus interesses. Sob esse viés, Grau (2002) argumenta que a arbitragem não se confunde com jurisdição, pois sua origem é contratual e os árbitros não detêm poder soberano, diferentemente do Judiciário (p. 141). Essa distinção é crucial, pois, se o Estado abre mão de sua jurisdição exclusiva em favor de um procedimento privado, qual seria o limite para essa delegação? Para o autor, a arbitragem previne a jurisdição, pois "não encerra jurisdição" e seu laudo "não pode ser tido como sentença", já que os árbitros não exercem função pública (Grau, 2002, p. 141). </w:t>
      </w:r>
    </w:p>
    <w:p w14:paraId="10E0CB6D">
      <w:pPr>
        <w:spacing w:line="360" w:lineRule="auto"/>
        <w:ind w:firstLine="709"/>
        <w:jc w:val="both"/>
        <w:rPr>
          <w:rFonts w:hint="default" w:ascii="Arial" w:hAnsi="Arial" w:cs="Arial"/>
          <w:sz w:val="24"/>
          <w:szCs w:val="24"/>
        </w:rPr>
      </w:pPr>
      <w:r>
        <w:rPr>
          <w:rFonts w:hint="default" w:ascii="Arial" w:hAnsi="Arial" w:cs="Arial"/>
          <w:sz w:val="24"/>
          <w:szCs w:val="24"/>
        </w:rPr>
        <w:t>Paralelamente, Bandeira de Mello (2022) sustenta que a Administração Pública não é titular, mas gestora de interesses coletivos, os quais são indisponíveis e inegociáveis (MELLO, 2022, p. 92). Sob essa ótica, qualquer forma de solução de conflitos que envolva direitos públicos deve preservar a primazia do interesse social, o que levanta dúvidas sobre a extensão da autonomia da vontade na arbitragem.</w:t>
      </w:r>
    </w:p>
    <w:p w14:paraId="1AE8BDF6">
      <w:pPr>
        <w:spacing w:line="360" w:lineRule="auto"/>
        <w:ind w:firstLine="709"/>
        <w:jc w:val="both"/>
        <w:rPr>
          <w:sz w:val="24"/>
          <w:szCs w:val="24"/>
        </w:rPr>
      </w:pPr>
      <w:r>
        <w:rPr>
          <w:rFonts w:hint="default" w:ascii="Arial" w:hAnsi="Arial" w:cs="Arial"/>
          <w:sz w:val="24"/>
          <w:szCs w:val="24"/>
        </w:rPr>
        <w:t>Diante dessas questões, o presente estudo busca investigar se a arbitragem em contratos administrativos é plenamente compatível com o ordenamento jurídico brasileiro.</w:t>
      </w:r>
    </w:p>
    <w:p w14:paraId="6DCC4408">
      <w:pPr>
        <w:spacing w:line="360" w:lineRule="auto"/>
        <w:jc w:val="both"/>
        <w:rPr>
          <w:sz w:val="20"/>
          <w:szCs w:val="20"/>
        </w:rPr>
      </w:pPr>
    </w:p>
    <w:p w14:paraId="505AD38D">
      <w:pPr>
        <w:numPr>
          <w:ilvl w:val="0"/>
          <w:numId w:val="1"/>
        </w:numPr>
        <w:spacing w:line="360" w:lineRule="auto"/>
        <w:jc w:val="both"/>
        <w:rPr>
          <w:rFonts w:hint="default" w:ascii="Arial" w:hAnsi="Arial" w:cs="Arial"/>
          <w:b/>
          <w:sz w:val="24"/>
          <w:szCs w:val="24"/>
        </w:rPr>
      </w:pPr>
      <w:r>
        <w:rPr>
          <w:rFonts w:hint="default" w:ascii="Arial" w:hAnsi="Arial" w:cs="Arial"/>
          <w:b/>
          <w:sz w:val="24"/>
          <w:szCs w:val="24"/>
        </w:rPr>
        <w:t>OBJETIVOS</w:t>
      </w:r>
    </w:p>
    <w:p w14:paraId="73528CA7">
      <w:pPr>
        <w:numPr>
          <w:ilvl w:val="0"/>
          <w:numId w:val="0"/>
        </w:numPr>
        <w:spacing w:line="360" w:lineRule="auto"/>
        <w:jc w:val="both"/>
        <w:rPr>
          <w:rFonts w:hint="default" w:ascii="Arial" w:hAnsi="Arial" w:cs="Arial"/>
          <w:b/>
          <w:sz w:val="24"/>
          <w:szCs w:val="24"/>
        </w:rPr>
      </w:pPr>
    </w:p>
    <w:p w14:paraId="4772B0BF">
      <w:pPr>
        <w:spacing w:line="360" w:lineRule="auto"/>
        <w:jc w:val="both"/>
        <w:rPr>
          <w:rFonts w:hint="default" w:ascii="Arial" w:hAnsi="Arial" w:cs="Arial"/>
          <w:b/>
          <w:sz w:val="24"/>
          <w:szCs w:val="24"/>
        </w:rPr>
      </w:pPr>
      <w:r>
        <w:rPr>
          <w:rFonts w:hint="default" w:ascii="Arial" w:hAnsi="Arial" w:cs="Arial"/>
          <w:b/>
          <w:sz w:val="24"/>
          <w:szCs w:val="24"/>
        </w:rPr>
        <w:tab/>
      </w:r>
      <w:r>
        <w:rPr>
          <w:rFonts w:hint="default" w:ascii="Arial" w:hAnsi="Arial" w:cs="Arial"/>
          <w:bCs/>
          <w:sz w:val="24"/>
          <w:szCs w:val="24"/>
        </w:rPr>
        <w:t>Este artigo tem como objetivo geral analisar a arbitragem como instrumento de eficiência na resolução de conflitos decorrentes de contratos administrativos, à luz do ordenamento jurídico brasileiro, com ênfase na sua aplicação prática pela Administração Pública e na busca por soluções mais céleres, especializadas e econômicas em comparação à via judicial tradicional.</w:t>
      </w:r>
    </w:p>
    <w:p w14:paraId="15F37824">
      <w:pPr>
        <w:spacing w:line="360" w:lineRule="auto"/>
        <w:jc w:val="both"/>
        <w:rPr>
          <w:b/>
          <w:sz w:val="24"/>
          <w:szCs w:val="24"/>
        </w:rPr>
      </w:pPr>
    </w:p>
    <w:p w14:paraId="3854AE02">
      <w:pPr>
        <w:numPr>
          <w:ilvl w:val="1"/>
          <w:numId w:val="1"/>
        </w:numPr>
        <w:spacing w:line="360" w:lineRule="auto"/>
        <w:jc w:val="both"/>
        <w:rPr>
          <w:rFonts w:hint="default" w:ascii="Arial" w:hAnsi="Arial" w:cs="Arial"/>
          <w:b/>
          <w:sz w:val="24"/>
          <w:szCs w:val="24"/>
        </w:rPr>
      </w:pPr>
      <w:r>
        <w:rPr>
          <w:rFonts w:hint="default" w:ascii="Arial" w:hAnsi="Arial" w:cs="Arial"/>
          <w:b/>
          <w:sz w:val="24"/>
          <w:szCs w:val="24"/>
          <w:lang w:val="pt-BR"/>
        </w:rPr>
        <w:t xml:space="preserve"> </w:t>
      </w:r>
      <w:r>
        <w:rPr>
          <w:rFonts w:hint="default" w:ascii="Arial" w:hAnsi="Arial" w:cs="Arial"/>
          <w:b/>
          <w:sz w:val="24"/>
          <w:szCs w:val="24"/>
        </w:rPr>
        <w:t>Específicos</w:t>
      </w:r>
    </w:p>
    <w:p w14:paraId="7BED7606">
      <w:pPr>
        <w:numPr>
          <w:ilvl w:val="0"/>
          <w:numId w:val="0"/>
        </w:numPr>
        <w:spacing w:line="360" w:lineRule="auto"/>
        <w:ind w:leftChars="0"/>
        <w:jc w:val="both"/>
        <w:rPr>
          <w:rFonts w:hint="default" w:ascii="Arial" w:hAnsi="Arial" w:cs="Arial"/>
          <w:b/>
          <w:sz w:val="24"/>
          <w:szCs w:val="24"/>
        </w:rPr>
      </w:pPr>
    </w:p>
    <w:p w14:paraId="23A44DA8">
      <w:pPr>
        <w:spacing w:line="360" w:lineRule="auto"/>
        <w:ind w:firstLine="720"/>
        <w:jc w:val="both"/>
        <w:rPr>
          <w:rFonts w:hint="default" w:ascii="Arial" w:hAnsi="Arial" w:cs="Arial"/>
          <w:bCs/>
          <w:sz w:val="24"/>
          <w:szCs w:val="24"/>
        </w:rPr>
      </w:pPr>
      <w:r>
        <w:rPr>
          <w:rFonts w:hint="default" w:ascii="Arial" w:hAnsi="Arial" w:cs="Arial"/>
          <w:bCs/>
          <w:sz w:val="24"/>
          <w:szCs w:val="24"/>
        </w:rPr>
        <w:t xml:space="preserve">Analisar de forma aprofundada os dispositivos legais que disciplinam a utilização da arbitragem nos contratos administrativos, especialmente aqueles previstos na Lei nº 14.133/2021 e na Lei nº 9.307/1996, destacando os pressupostos jurídicos para sua adoção pela Administração Pública. </w:t>
      </w:r>
    </w:p>
    <w:p w14:paraId="56AAF77A">
      <w:pPr>
        <w:spacing w:line="360" w:lineRule="auto"/>
        <w:ind w:firstLine="720" w:firstLineChars="0"/>
        <w:jc w:val="both"/>
        <w:rPr>
          <w:rFonts w:hint="default" w:ascii="Arial" w:hAnsi="Arial" w:cs="Arial"/>
          <w:bCs/>
          <w:sz w:val="24"/>
          <w:szCs w:val="24"/>
        </w:rPr>
      </w:pPr>
      <w:r>
        <w:rPr>
          <w:rFonts w:hint="default" w:ascii="Arial" w:hAnsi="Arial" w:cs="Arial"/>
          <w:bCs/>
          <w:sz w:val="24"/>
          <w:szCs w:val="24"/>
        </w:rPr>
        <w:t>Investigar as principais vantagens e eventuais limitações do uso da arbitragem como método de resolução de conflitos em contratações públicas, considerando aspectos como celeridade processual, especialização técnica dos árbitros e redução de custos, bem como eventuais riscos relacionados à transparência e ao controle externo.</w:t>
      </w:r>
    </w:p>
    <w:p w14:paraId="26608D64">
      <w:pPr>
        <w:spacing w:line="360" w:lineRule="auto"/>
        <w:ind w:firstLine="720" w:firstLineChars="0"/>
        <w:jc w:val="both"/>
        <w:rPr>
          <w:rFonts w:hint="default" w:ascii="Arial" w:hAnsi="Arial" w:cs="Arial"/>
          <w:bCs/>
          <w:sz w:val="24"/>
          <w:szCs w:val="24"/>
        </w:rPr>
      </w:pPr>
      <w:r>
        <w:rPr>
          <w:rFonts w:hint="default" w:ascii="Arial" w:hAnsi="Arial" w:cs="Arial"/>
          <w:bCs/>
          <w:sz w:val="24"/>
          <w:szCs w:val="24"/>
        </w:rPr>
        <w:t>Estudar a compatibilidade da arbitragem com os princípios constitucionais e administrativos que regem a atuação estatal, notadamente os princípios da legalidade, da supremacia do interesse público, da publicidade e da indisponibilidade do interesse público, analisando como esses valores influenciam a conformação das cláusulas compromissórias.</w:t>
      </w:r>
    </w:p>
    <w:p w14:paraId="2EE7E3D1">
      <w:pPr>
        <w:spacing w:line="360" w:lineRule="auto"/>
        <w:ind w:firstLine="720" w:firstLineChars="0"/>
        <w:jc w:val="both"/>
        <w:rPr>
          <w:rFonts w:hint="default" w:ascii="Arial" w:hAnsi="Arial" w:cs="Arial"/>
          <w:bCs/>
          <w:sz w:val="24"/>
          <w:szCs w:val="24"/>
        </w:rPr>
      </w:pPr>
      <w:r>
        <w:rPr>
          <w:rFonts w:hint="default" w:ascii="Arial" w:hAnsi="Arial" w:cs="Arial"/>
          <w:bCs/>
          <w:sz w:val="24"/>
          <w:szCs w:val="24"/>
        </w:rPr>
        <w:t>Examinar decisões e entendimentos jurisprudenciais do Tribunal de Contas da União e dos tribunais superiores acerca da validade, dos limites e dos efeitos da arbitragem nos contratos administrativos, com o objetivo de identificar tendências e parâmetros consolidados na prática jurisdicional e de controle.</w:t>
      </w:r>
    </w:p>
    <w:p w14:paraId="6B1AD810">
      <w:pPr>
        <w:spacing w:line="360" w:lineRule="auto"/>
        <w:ind w:firstLine="720" w:firstLineChars="0"/>
        <w:jc w:val="both"/>
        <w:rPr>
          <w:rFonts w:hint="default" w:ascii="Arial" w:hAnsi="Arial" w:cs="Arial"/>
          <w:bCs/>
          <w:sz w:val="24"/>
          <w:szCs w:val="24"/>
        </w:rPr>
      </w:pPr>
      <w:r>
        <w:rPr>
          <w:rFonts w:hint="default" w:ascii="Arial" w:hAnsi="Arial" w:cs="Arial"/>
          <w:bCs/>
          <w:sz w:val="24"/>
          <w:szCs w:val="24"/>
        </w:rPr>
        <w:t>Avaliar experiências concretas e casos emblemáticos de utilização da arbitragem em contratos administrativos celebrados por entes públicos brasileiros, com vistas a verificar sua efetividade e celeridade na solução de litígios e a aferir impactos na execução contratual e no equilíbrio econômico-financeiro dos ajustes firmados.</w:t>
      </w:r>
    </w:p>
    <w:p w14:paraId="7FDFDBEA">
      <w:pPr>
        <w:spacing w:line="360" w:lineRule="auto"/>
        <w:ind w:firstLine="720"/>
        <w:jc w:val="both"/>
        <w:rPr>
          <w:bCs/>
          <w:sz w:val="24"/>
          <w:szCs w:val="24"/>
        </w:rPr>
      </w:pPr>
    </w:p>
    <w:p w14:paraId="2CCE1D06">
      <w:pPr>
        <w:numPr>
          <w:ilvl w:val="0"/>
          <w:numId w:val="1"/>
        </w:numPr>
        <w:spacing w:line="360" w:lineRule="auto"/>
        <w:jc w:val="both"/>
        <w:rPr>
          <w:rFonts w:hint="default" w:ascii="Arial" w:hAnsi="Arial" w:cs="Arial"/>
          <w:b/>
          <w:sz w:val="24"/>
          <w:szCs w:val="24"/>
        </w:rPr>
      </w:pPr>
      <w:r>
        <w:rPr>
          <w:rFonts w:hint="default" w:ascii="Arial" w:hAnsi="Arial" w:cs="Arial"/>
          <w:b/>
          <w:sz w:val="24"/>
          <w:szCs w:val="24"/>
        </w:rPr>
        <w:t>METODOLOGIA</w:t>
      </w:r>
    </w:p>
    <w:p w14:paraId="47792590">
      <w:pPr>
        <w:numPr>
          <w:ilvl w:val="0"/>
          <w:numId w:val="0"/>
        </w:numPr>
        <w:spacing w:line="360" w:lineRule="auto"/>
        <w:jc w:val="both"/>
        <w:rPr>
          <w:rFonts w:hint="default" w:ascii="Arial" w:hAnsi="Arial" w:cs="Arial"/>
          <w:b/>
          <w:sz w:val="24"/>
          <w:szCs w:val="24"/>
        </w:rPr>
      </w:pPr>
    </w:p>
    <w:p w14:paraId="7C7F033A">
      <w:pPr>
        <w:spacing w:line="360" w:lineRule="auto"/>
        <w:ind w:firstLine="720"/>
        <w:jc w:val="both"/>
        <w:rPr>
          <w:rFonts w:hint="default" w:ascii="Arial" w:hAnsi="Arial" w:cs="Arial"/>
          <w:sz w:val="24"/>
          <w:szCs w:val="24"/>
        </w:rPr>
      </w:pPr>
      <w:r>
        <w:rPr>
          <w:rFonts w:hint="default" w:ascii="Arial" w:hAnsi="Arial" w:cs="Arial"/>
          <w:sz w:val="24"/>
          <w:szCs w:val="24"/>
        </w:rPr>
        <w:t>A metodologia adotada neste estudo é de natureza qualitativa, com abordagem dedutiva e caráter exploratório, centrada na análise bibliográfica e documental. A escolha desse percurso metodológico se justifica pela necessidade de compreender, de forma teórica e normativa, os contornos jurídicos da utilização da arbitragem nos contratos administrativos, bem como sua compatibilidade com os princípios constitucionais da Administração Pública.</w:t>
      </w:r>
      <w:r>
        <w:rPr>
          <w:rFonts w:hint="default" w:ascii="Arial" w:hAnsi="Arial" w:cs="Arial"/>
          <w:sz w:val="24"/>
          <w:szCs w:val="24"/>
          <w:lang w:val="pt-BR"/>
        </w:rPr>
        <w:tab/>
      </w:r>
      <w:r>
        <w:rPr>
          <w:rFonts w:hint="default" w:ascii="Arial" w:hAnsi="Arial" w:cs="Arial"/>
          <w:sz w:val="24"/>
          <w:szCs w:val="24"/>
        </w:rPr>
        <w:t>A pesquisa bibliográfica foi realizada a partir de obras doutrinárias e estudos acadêmicos relevantes, com destaque para autores que tratam especificamente da arbitragem no setor público. Eros Roberto Grau (2002) fornece importante distinção entre jurisdição e arbitragem, sublinhando que esta última não envolve exercício de poder soberano e, portanto, demanda critérios rigorosos para sua aplicação pela Administração. Celso Antônio Bandeira de Mello (2022), por sua vez, reforça a ideia de que a Administração é mera gestora de interesses coletivos, os quais são indisponíveis, exigindo cautela na adoção de mecanismos alternativos de resolução de conflitos.</w:t>
      </w:r>
    </w:p>
    <w:p w14:paraId="6AB947FD">
      <w:pPr>
        <w:spacing w:line="360" w:lineRule="auto"/>
        <w:ind w:firstLine="720" w:firstLineChars="0"/>
        <w:jc w:val="both"/>
        <w:rPr>
          <w:rFonts w:hint="default" w:ascii="Arial" w:hAnsi="Arial" w:cs="Arial"/>
          <w:sz w:val="24"/>
          <w:szCs w:val="24"/>
        </w:rPr>
      </w:pPr>
      <w:r>
        <w:rPr>
          <w:rFonts w:hint="default" w:ascii="Arial" w:hAnsi="Arial" w:cs="Arial"/>
          <w:sz w:val="24"/>
          <w:szCs w:val="24"/>
        </w:rPr>
        <w:t>No campo da produção acadêmica recente, foram examinados os trabalhos de Locks (2012) e Silva (2022), que discutem a arbitragem à luz dos princípios constitucionais do artigo 37 da Constituição Federal, como legalidade, moralidade, publicidade e eficiência, ressaltando tanto os avanços normativos quanto os desafios de sua implementação em contextos administrativos. A análise dessas produções permitiu uma visão crítica e atualizada sobre o debate doutrinário.</w:t>
      </w:r>
    </w:p>
    <w:p w14:paraId="14368480">
      <w:pPr>
        <w:spacing w:line="360" w:lineRule="auto"/>
        <w:ind w:firstLine="720" w:firstLineChars="0"/>
        <w:jc w:val="both"/>
        <w:rPr>
          <w:rFonts w:hint="default" w:ascii="Arial" w:hAnsi="Arial" w:cs="Arial"/>
          <w:sz w:val="24"/>
          <w:szCs w:val="24"/>
        </w:rPr>
      </w:pPr>
      <w:r>
        <w:rPr>
          <w:rFonts w:hint="default" w:ascii="Arial" w:hAnsi="Arial" w:cs="Arial"/>
          <w:sz w:val="24"/>
          <w:szCs w:val="24"/>
        </w:rPr>
        <w:t>Adicionalmente, a análise documental abrangeu dispositivos legais fundamentais, como a Lei nº 9.307/1996 (Lei de Arbitragem), atualizada pela Lei nº 13.129/2015, que introduziu de forma expressa a possibilidade de a Administração Pública valer-se da arbitragem para resolver litígios relativos a direitos patrimoniais disponíveis. Também foi analisada a Lei nº 14.133/2021, que disciplina as licitações e contratos administrativos, reforçando a legalidade da inclusão de cláusulas compromissórias.</w:t>
      </w:r>
    </w:p>
    <w:p w14:paraId="4EBEA357">
      <w:pPr>
        <w:spacing w:line="360" w:lineRule="auto"/>
        <w:ind w:firstLine="720" w:firstLineChars="0"/>
        <w:jc w:val="both"/>
        <w:rPr>
          <w:rFonts w:hint="default" w:ascii="Arial" w:hAnsi="Arial" w:cs="Arial"/>
          <w:sz w:val="24"/>
          <w:szCs w:val="24"/>
        </w:rPr>
      </w:pPr>
      <w:r>
        <w:rPr>
          <w:rFonts w:hint="default" w:ascii="Arial" w:hAnsi="Arial" w:cs="Arial"/>
          <w:sz w:val="24"/>
          <w:szCs w:val="24"/>
        </w:rPr>
        <w:t>Por fim, a pesquisa incorporou estudos setoriais como o artigo de Suxberger e Ribeiro (2017), que investigam os limites, as formas e os momentos apropriados para a previsão da arbitragem nos contratos administrativos, oferecendo parâmetros técnicos para sua aplicação segura e eficaz.</w:t>
      </w:r>
    </w:p>
    <w:p w14:paraId="7A3C35C2">
      <w:pPr>
        <w:spacing w:line="360" w:lineRule="auto"/>
        <w:ind w:firstLine="720" w:firstLineChars="0"/>
        <w:jc w:val="both"/>
        <w:rPr>
          <w:rFonts w:hint="default" w:ascii="Arial" w:hAnsi="Arial" w:cs="Arial"/>
          <w:sz w:val="24"/>
          <w:szCs w:val="24"/>
        </w:rPr>
      </w:pPr>
      <w:r>
        <w:rPr>
          <w:rFonts w:hint="default" w:ascii="Arial" w:hAnsi="Arial" w:cs="Arial"/>
          <w:sz w:val="24"/>
          <w:szCs w:val="24"/>
        </w:rPr>
        <w:t>Assim, a metodologia proposta proporciona embasamento teórico e jurídico suficiente para avaliar a viabilidade e os riscos da arbitragem no âmbito público, com vistas à formulação de critérios normativos que respeitem o interesse público e a moralidade administrativa.</w:t>
      </w:r>
    </w:p>
    <w:p w14:paraId="3C29D5EE">
      <w:pPr>
        <w:spacing w:line="360" w:lineRule="auto"/>
        <w:ind w:firstLine="720"/>
        <w:jc w:val="both"/>
        <w:rPr>
          <w:sz w:val="24"/>
          <w:szCs w:val="24"/>
        </w:rPr>
      </w:pPr>
    </w:p>
    <w:p w14:paraId="72E757B9">
      <w:pPr>
        <w:numPr>
          <w:ilvl w:val="0"/>
          <w:numId w:val="1"/>
        </w:numPr>
        <w:spacing w:line="360" w:lineRule="auto"/>
        <w:jc w:val="both"/>
        <w:rPr>
          <w:rFonts w:hint="default" w:ascii="Arial" w:hAnsi="Arial" w:cs="Arial"/>
          <w:b/>
          <w:sz w:val="24"/>
          <w:szCs w:val="24"/>
        </w:rPr>
      </w:pPr>
      <w:r>
        <w:rPr>
          <w:rFonts w:hint="default" w:ascii="Arial" w:hAnsi="Arial" w:cs="Arial"/>
          <w:b/>
          <w:sz w:val="24"/>
          <w:szCs w:val="24"/>
        </w:rPr>
        <w:t>RESULTADOS ALCANÇADOS</w:t>
      </w:r>
    </w:p>
    <w:p w14:paraId="4E79C717">
      <w:pPr>
        <w:spacing w:line="360" w:lineRule="auto"/>
        <w:ind w:firstLine="720"/>
        <w:jc w:val="both"/>
        <w:rPr>
          <w:rFonts w:hint="default" w:ascii="Arial" w:hAnsi="Arial" w:cs="Arial"/>
          <w:bCs/>
          <w:sz w:val="24"/>
          <w:szCs w:val="24"/>
        </w:rPr>
      </w:pPr>
    </w:p>
    <w:p w14:paraId="61DBDB0E">
      <w:pPr>
        <w:spacing w:line="360" w:lineRule="auto"/>
        <w:ind w:firstLine="720"/>
        <w:jc w:val="both"/>
        <w:rPr>
          <w:rFonts w:hint="default" w:ascii="Arial" w:hAnsi="Arial" w:cs="Arial"/>
          <w:bCs/>
          <w:sz w:val="24"/>
          <w:szCs w:val="24"/>
        </w:rPr>
      </w:pPr>
      <w:r>
        <w:rPr>
          <w:rFonts w:hint="default" w:ascii="Arial" w:hAnsi="Arial" w:cs="Arial"/>
          <w:bCs/>
          <w:sz w:val="24"/>
          <w:szCs w:val="24"/>
        </w:rPr>
        <w:t>A análise bibliográfica e documental realizada permitiu constatar que a arbitragem, embora tradicionalmente restrita ao setor privado, tem se consolidado como uma alternativa juridicamente viável e eficiente para a resolução de conflitos nos contratos administrativos, desde que limitada a direitos patrimoniais disponíveis. A partir da reforma promovida pela Lei nº 13.129/2015 na Lei nº 9.307/1996, verificou-se maior segurança jurídica para a inclusão de cláusulas compromissórias em contratos celebrados pela Administração Pública, conforme previsto também na Lei nº 14.133/2021.</w:t>
      </w:r>
    </w:p>
    <w:p w14:paraId="35959337">
      <w:pPr>
        <w:spacing w:line="360" w:lineRule="auto"/>
        <w:ind w:firstLine="720" w:firstLineChars="0"/>
        <w:jc w:val="both"/>
        <w:rPr>
          <w:rFonts w:hint="default" w:ascii="Arial" w:hAnsi="Arial" w:cs="Arial"/>
          <w:bCs/>
          <w:sz w:val="24"/>
          <w:szCs w:val="24"/>
        </w:rPr>
      </w:pPr>
      <w:r>
        <w:rPr>
          <w:rFonts w:hint="default" w:ascii="Arial" w:hAnsi="Arial" w:cs="Arial"/>
          <w:bCs/>
          <w:sz w:val="24"/>
          <w:szCs w:val="24"/>
        </w:rPr>
        <w:t>Verificou-se, com base na doutrina de Grau (2002), que a arbitragem não se confunde com a jurisdição estatal, o que impõe limites à sua utilização pelo poder público, especialmente quando se trata da indisponibilidade dos interesses públicos primários. Por outro lado, conforme argumenta Bandeira de Mello (2022), a Administração atua como gestora e não como titular dos interesses coletivos, o que justifica a necessidade de critérios claros para a adoção da arbitragem, garantindo a supremacia do interesse público e a legalidade.</w:t>
      </w:r>
    </w:p>
    <w:p w14:paraId="3EEF5EB4">
      <w:pPr>
        <w:spacing w:line="360" w:lineRule="auto"/>
        <w:ind w:firstLine="720" w:firstLineChars="0"/>
        <w:jc w:val="both"/>
        <w:rPr>
          <w:rFonts w:hint="default" w:ascii="Arial" w:hAnsi="Arial" w:cs="Arial"/>
          <w:bCs/>
          <w:sz w:val="24"/>
          <w:szCs w:val="24"/>
        </w:rPr>
      </w:pPr>
      <w:r>
        <w:rPr>
          <w:rFonts w:hint="default" w:ascii="Arial" w:hAnsi="Arial" w:cs="Arial"/>
          <w:bCs/>
          <w:sz w:val="24"/>
          <w:szCs w:val="24"/>
        </w:rPr>
        <w:t>A investigação também evidenciou que a arbitragem apresenta benefícios concretos como a celeridade processual, a especialização técnica dos árbitros e a redução de custos operacionais, o que pode contribuir para a eficiência da gestão pública, conforme reforçado por Locks (2012) e Silva (2022). Contudo, os mesmos autores alertam para riscos associados à transparência e ao controle externo, que devem ser mitigados por meio de instrumentos normativos e de fiscalização adequados.</w:t>
      </w:r>
    </w:p>
    <w:p w14:paraId="278F0E97">
      <w:pPr>
        <w:spacing w:line="360" w:lineRule="auto"/>
        <w:ind w:firstLine="720" w:firstLineChars="0"/>
        <w:jc w:val="both"/>
        <w:rPr>
          <w:rFonts w:hint="default" w:ascii="Arial" w:hAnsi="Arial" w:cs="Arial"/>
          <w:bCs/>
          <w:sz w:val="24"/>
          <w:szCs w:val="24"/>
        </w:rPr>
      </w:pPr>
      <w:r>
        <w:rPr>
          <w:rFonts w:hint="default" w:ascii="Arial" w:hAnsi="Arial" w:cs="Arial"/>
          <w:bCs/>
          <w:sz w:val="24"/>
          <w:szCs w:val="24"/>
        </w:rPr>
        <w:t>Do ponto de vista prático, identificaram-se experiências positivas de entes públicos que adotaram a arbitragem como mecanismo de solução de controvérsias contratuais, com resultados favoráveis no que diz respeito à resolução célere dos litígios e à preservação do equilíbrio econômico-financeiro dos contratos. A análise de Suxberger e Ribeiro (2017) destaca a importância da previsão contratual adequada, bem como da delimitação clara do objeto arbitrável, como fatores determinantes para a validade e efetividade do procedimento arbitral no setor público.</w:t>
      </w:r>
    </w:p>
    <w:p w14:paraId="4EB0505C">
      <w:pPr>
        <w:spacing w:line="360" w:lineRule="auto"/>
        <w:ind w:firstLine="720" w:firstLineChars="0"/>
        <w:jc w:val="both"/>
        <w:rPr>
          <w:rFonts w:hint="default" w:ascii="Arial" w:hAnsi="Arial" w:cs="Arial"/>
          <w:bCs/>
          <w:sz w:val="24"/>
          <w:szCs w:val="24"/>
        </w:rPr>
      </w:pPr>
      <w:r>
        <w:rPr>
          <w:rFonts w:hint="default" w:ascii="Arial" w:hAnsi="Arial" w:cs="Arial"/>
          <w:bCs/>
          <w:sz w:val="24"/>
          <w:szCs w:val="24"/>
        </w:rPr>
        <w:t>Dessa forma, conclui-se que a arbitragem, quando aplicada com observância aos princípios constitucionais e respaldada por cláusulas bem formuladas, pode representar uma ferramenta legítima e eficaz na administração contratual pública.</w:t>
      </w:r>
    </w:p>
    <w:p w14:paraId="7CBB799B">
      <w:pPr>
        <w:spacing w:line="360" w:lineRule="auto"/>
        <w:jc w:val="both"/>
        <w:rPr>
          <w:b/>
          <w:sz w:val="24"/>
          <w:szCs w:val="24"/>
        </w:rPr>
      </w:pPr>
    </w:p>
    <w:p w14:paraId="3F353701">
      <w:pPr>
        <w:spacing w:line="360" w:lineRule="auto"/>
        <w:jc w:val="center"/>
        <w:rPr>
          <w:rFonts w:hint="default" w:ascii="Arial" w:hAnsi="Arial" w:cs="Arial"/>
          <w:bCs/>
          <w:sz w:val="24"/>
          <w:szCs w:val="24"/>
        </w:rPr>
      </w:pPr>
      <w:r>
        <w:rPr>
          <w:rFonts w:hint="default" w:ascii="Arial" w:hAnsi="Arial" w:cs="Arial"/>
          <w:b/>
          <w:sz w:val="24"/>
          <w:szCs w:val="24"/>
        </w:rPr>
        <w:t xml:space="preserve">REFERÊNCIAS </w:t>
      </w:r>
    </w:p>
    <w:p w14:paraId="778BF967">
      <w:pPr>
        <w:spacing w:line="240" w:lineRule="auto"/>
        <w:jc w:val="both"/>
        <w:rPr>
          <w:rFonts w:hint="default" w:ascii="Arial" w:hAnsi="Arial" w:cs="Arial"/>
          <w:sz w:val="24"/>
          <w:szCs w:val="24"/>
        </w:rPr>
      </w:pPr>
    </w:p>
    <w:p w14:paraId="4FEBCEAA">
      <w:pPr>
        <w:spacing w:line="240" w:lineRule="auto"/>
        <w:jc w:val="both"/>
        <w:rPr>
          <w:rFonts w:hint="default" w:ascii="Arial" w:hAnsi="Arial" w:cs="Arial"/>
          <w:sz w:val="24"/>
          <w:szCs w:val="24"/>
        </w:rPr>
      </w:pPr>
      <w:r>
        <w:rPr>
          <w:rFonts w:hint="default" w:ascii="Arial" w:hAnsi="Arial" w:cs="Arial"/>
          <w:sz w:val="24"/>
          <w:szCs w:val="24"/>
        </w:rPr>
        <w:t>BRASIL. Lei n.º 9.307, de 23 de setembro de 1996. Dispõe sobre a arbitragem. Atualizada pela Lei n.º 13.129, de 26 de maio de 2015. Diário Oficial da União, Brasília, DF, 24 set. 1996.</w:t>
      </w:r>
    </w:p>
    <w:p w14:paraId="24643F7A">
      <w:pPr>
        <w:spacing w:line="240" w:lineRule="auto"/>
        <w:jc w:val="both"/>
        <w:rPr>
          <w:rFonts w:hint="default" w:ascii="Arial" w:hAnsi="Arial" w:cs="Arial"/>
          <w:sz w:val="24"/>
          <w:szCs w:val="24"/>
        </w:rPr>
      </w:pPr>
    </w:p>
    <w:p w14:paraId="34E3FE7E">
      <w:pPr>
        <w:spacing w:line="240" w:lineRule="auto"/>
        <w:jc w:val="both"/>
        <w:rPr>
          <w:rFonts w:hint="default" w:ascii="Arial" w:hAnsi="Arial" w:cs="Arial"/>
          <w:sz w:val="24"/>
          <w:szCs w:val="24"/>
        </w:rPr>
      </w:pPr>
      <w:r>
        <w:rPr>
          <w:rFonts w:hint="default" w:ascii="Arial" w:hAnsi="Arial" w:cs="Arial"/>
          <w:sz w:val="24"/>
          <w:szCs w:val="24"/>
        </w:rPr>
        <w:t>LOCKS, Juliane. O uso da arbitragem pela Administração Pública à luz dos princípios constitucionais do art. 37, caput. 2012. Trabalho de Conclusão de Curso (Graduação em Direito) – Pontifícia Universidade Católica do Rio Grande do Sul, Porto Alegre, 2012.</w:t>
      </w:r>
    </w:p>
    <w:p w14:paraId="29A6F314">
      <w:pPr>
        <w:spacing w:line="240" w:lineRule="auto"/>
        <w:jc w:val="both"/>
        <w:rPr>
          <w:rFonts w:hint="default" w:ascii="Arial" w:hAnsi="Arial" w:cs="Arial"/>
          <w:sz w:val="24"/>
          <w:szCs w:val="24"/>
        </w:rPr>
      </w:pPr>
    </w:p>
    <w:p w14:paraId="04C80ECD">
      <w:pPr>
        <w:spacing w:line="240" w:lineRule="auto"/>
        <w:jc w:val="both"/>
        <w:rPr>
          <w:rFonts w:hint="default" w:ascii="Arial" w:hAnsi="Arial" w:cs="Arial"/>
          <w:sz w:val="24"/>
          <w:szCs w:val="24"/>
        </w:rPr>
      </w:pPr>
      <w:r>
        <w:rPr>
          <w:rFonts w:hint="default" w:ascii="Arial" w:hAnsi="Arial" w:cs="Arial"/>
          <w:sz w:val="24"/>
          <w:szCs w:val="24"/>
        </w:rPr>
        <w:t>SILVA, Bruna Kelly da. Arbitragem na Administração Pública: limites e viabilidade. 2022. Trabalho de Conclusão de Curso (Graduação em Direito) – Universidade Federal da Paraíba, João Pessoa, 2022.</w:t>
      </w:r>
    </w:p>
    <w:p w14:paraId="09EC7B5C">
      <w:pPr>
        <w:spacing w:line="240" w:lineRule="auto"/>
        <w:jc w:val="both"/>
        <w:rPr>
          <w:rFonts w:hint="default" w:ascii="Arial" w:hAnsi="Arial" w:cs="Arial"/>
          <w:sz w:val="24"/>
          <w:szCs w:val="24"/>
        </w:rPr>
      </w:pPr>
    </w:p>
    <w:p w14:paraId="50452454">
      <w:pPr>
        <w:spacing w:line="240" w:lineRule="auto"/>
        <w:jc w:val="both"/>
        <w:rPr>
          <w:rFonts w:hint="default" w:ascii="Arial" w:hAnsi="Arial" w:cs="Arial"/>
          <w:sz w:val="24"/>
          <w:szCs w:val="24"/>
        </w:rPr>
      </w:pPr>
      <w:r>
        <w:rPr>
          <w:rFonts w:hint="default" w:ascii="Arial" w:hAnsi="Arial" w:cs="Arial"/>
          <w:sz w:val="24"/>
          <w:szCs w:val="24"/>
        </w:rPr>
        <w:t>SUXBERGER, Antonio Henrique Graciano; RIBEIRO, Ana Cláudia Rodrigues Nerosky. Arbitragem como meio de solução de conflitos nos contratos da Administração Pública: limites, forma e momento de previsão. Revista de Estudos e Pesquisas Avançadas do Terceiro Setor, Brasília, v. 4, n. 2, p. 454-476, jul./dez. 2017.</w:t>
      </w:r>
    </w:p>
    <w:p w14:paraId="078F954B">
      <w:pPr>
        <w:spacing w:line="240" w:lineRule="auto"/>
        <w:jc w:val="both"/>
        <w:rPr>
          <w:rFonts w:hint="default" w:ascii="Arial" w:hAnsi="Arial" w:cs="Arial"/>
          <w:sz w:val="24"/>
          <w:szCs w:val="24"/>
        </w:rPr>
      </w:pPr>
    </w:p>
    <w:p w14:paraId="2A5F0B81">
      <w:pPr>
        <w:spacing w:line="240" w:lineRule="auto"/>
        <w:jc w:val="both"/>
        <w:rPr>
          <w:rFonts w:hint="default" w:ascii="Arial" w:hAnsi="Arial" w:cs="Arial"/>
          <w:sz w:val="24"/>
          <w:szCs w:val="24"/>
        </w:rPr>
      </w:pPr>
      <w:r>
        <w:rPr>
          <w:rFonts w:hint="default" w:ascii="Arial" w:hAnsi="Arial" w:cs="Arial"/>
          <w:sz w:val="24"/>
          <w:szCs w:val="24"/>
        </w:rPr>
        <w:t>GRAU, Eros Roberto. Arbitragem e contratos administrativos. *Revista da Faculdade de Direito da UFRGS*, Porto Alegre, v. 21, p. 141-148, mar. 2002.</w:t>
      </w:r>
    </w:p>
    <w:p w14:paraId="1B49229E">
      <w:pPr>
        <w:spacing w:line="240" w:lineRule="auto"/>
        <w:jc w:val="both"/>
        <w:rPr>
          <w:rFonts w:hint="default" w:ascii="Arial" w:hAnsi="Arial" w:cs="Arial"/>
          <w:sz w:val="24"/>
          <w:szCs w:val="24"/>
        </w:rPr>
      </w:pPr>
      <w:r>
        <w:rPr>
          <w:rFonts w:hint="default" w:ascii="Arial" w:hAnsi="Arial" w:cs="Arial"/>
          <w:sz w:val="24"/>
          <w:szCs w:val="24"/>
        </w:rPr>
        <w:t>MELLO, Celso Antônio Bandeira de. Curso de Direito Administrativo. 39. ed. rev. e atual. São Paulo: Malheiros, 2022.</w:t>
      </w:r>
    </w:p>
    <w:p w14:paraId="5FC1B733">
      <w:pPr>
        <w:spacing w:line="240" w:lineRule="auto"/>
        <w:jc w:val="both"/>
        <w:rPr>
          <w:sz w:val="24"/>
          <w:szCs w:val="24"/>
        </w:rPr>
      </w:pPr>
    </w:p>
    <w:p w14:paraId="7832A632"/>
    <w:sectPr>
      <w:headerReference r:id="rId5" w:type="default"/>
      <w:pgSz w:w="11909" w:h="16834"/>
      <w:pgMar w:top="1701" w:right="1134" w:bottom="1134" w:left="1701" w:header="3401" w:footer="720"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82C4E">
    <w:r>
      <w:rPr>
        <w:lang/>
      </w:rPr>
      <w:drawing>
        <wp:anchor distT="114300" distB="114300" distL="114300" distR="114300" simplePos="0" relativeHeight="251659264" behindDoc="1" locked="0" layoutInCell="1" allowOverlap="1">
          <wp:simplePos x="0" y="0"/>
          <wp:positionH relativeFrom="page">
            <wp:posOffset>0</wp:posOffset>
          </wp:positionH>
          <wp:positionV relativeFrom="page">
            <wp:posOffset>6985</wp:posOffset>
          </wp:positionV>
          <wp:extent cx="7563485" cy="10727690"/>
          <wp:effectExtent l="0" t="0" r="10795" b="127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a:stretch>
                    <a:fillRect/>
                  </a:stretch>
                </pic:blipFill>
                <pic:spPr>
                  <a:xfrm>
                    <a:off x="0" y="0"/>
                    <a:ext cx="7563485" cy="107276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ACA3FE"/>
    <w:multiLevelType w:val="multilevel"/>
    <w:tmpl w:val="9BACA3FE"/>
    <w:lvl w:ilvl="0" w:tentative="0">
      <w:start w:val="3"/>
      <w:numFmt w:val="decimal"/>
      <w:lvlText w:val="%1"/>
      <w:lvlJc w:val="left"/>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bordersDoNotSurroundHeader w:val="0"/>
  <w:bordersDoNotSurroundFooter w:val="0"/>
  <w:documentProtection w:enforcement="0"/>
  <w:defaultTabStop w:val="720"/>
  <w:hyphenationZone w:val="425"/>
  <w:displayHorizontalDrawingGridEvery w:val="1"/>
  <w:displayVerticalDrawingGridEvery w:val="1"/>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348"/>
    <w:rsid w:val="00292980"/>
    <w:rsid w:val="002B22E3"/>
    <w:rsid w:val="004F776F"/>
    <w:rsid w:val="005C4655"/>
    <w:rsid w:val="00711AAD"/>
    <w:rsid w:val="00721D14"/>
    <w:rsid w:val="00A669C2"/>
    <w:rsid w:val="00BB06AC"/>
    <w:rsid w:val="00BC7C70"/>
    <w:rsid w:val="00E64E46"/>
    <w:rsid w:val="00F2735F"/>
    <w:rsid w:val="00FF4348"/>
    <w:rsid w:val="7DED1B7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line="276" w:lineRule="auto"/>
    </w:pPr>
    <w:rPr>
      <w:sz w:val="22"/>
      <w:szCs w:val="22"/>
      <w:lang w:val="pt-BR" w:eastAsia="pt-BR"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semiHidden/>
    <w:unhideWhenUsed/>
    <w:qFormat/>
    <w:uiPriority w:val="9"/>
    <w:pPr>
      <w:keepNext/>
      <w:keepLines/>
      <w:spacing w:before="360" w:after="120"/>
      <w:outlineLvl w:val="1"/>
    </w:pPr>
    <w:rPr>
      <w:sz w:val="32"/>
      <w:szCs w:val="32"/>
    </w:rPr>
  </w:style>
  <w:style w:type="paragraph" w:styleId="4">
    <w:name w:val="heading 3"/>
    <w:basedOn w:val="1"/>
    <w:next w:val="1"/>
    <w:semiHidden/>
    <w:unhideWhenUsed/>
    <w:qFormat/>
    <w:uiPriority w:val="9"/>
    <w:pPr>
      <w:keepNext/>
      <w:keepLines/>
      <w:spacing w:before="320" w:after="80"/>
      <w:outlineLvl w:val="2"/>
    </w:pPr>
    <w:rPr>
      <w:color w:val="434343"/>
      <w:sz w:val="28"/>
      <w:szCs w:val="28"/>
    </w:rPr>
  </w:style>
  <w:style w:type="paragraph" w:styleId="5">
    <w:name w:val="heading 4"/>
    <w:basedOn w:val="1"/>
    <w:next w:val="1"/>
    <w:semiHidden/>
    <w:unhideWhenUsed/>
    <w:qFormat/>
    <w:uiPriority w:val="9"/>
    <w:pPr>
      <w:keepNext/>
      <w:keepLines/>
      <w:spacing w:before="280" w:after="80"/>
      <w:outlineLvl w:val="3"/>
    </w:pPr>
    <w:rPr>
      <w:color w:val="666666"/>
      <w:sz w:val="24"/>
      <w:szCs w:val="24"/>
    </w:rPr>
  </w:style>
  <w:style w:type="paragraph" w:styleId="6">
    <w:name w:val="heading 5"/>
    <w:basedOn w:val="1"/>
    <w:next w:val="1"/>
    <w:semiHidden/>
    <w:unhideWhenUsed/>
    <w:qFormat/>
    <w:uiPriority w:val="9"/>
    <w:pPr>
      <w:keepNext/>
      <w:keepLines/>
      <w:spacing w:before="240" w:after="80"/>
      <w:outlineLvl w:val="4"/>
    </w:pPr>
    <w:rPr>
      <w:color w:val="666666"/>
    </w:rPr>
  </w:style>
  <w:style w:type="paragraph" w:styleId="7">
    <w:name w:val="heading 6"/>
    <w:basedOn w:val="1"/>
    <w:next w:val="1"/>
    <w:semiHidden/>
    <w:unhideWhenUsed/>
    <w:qFormat/>
    <w:uiPriority w:val="9"/>
    <w:pPr>
      <w:keepNext/>
      <w:keepLines/>
      <w:spacing w:before="240" w:after="80"/>
      <w:outlineLvl w:val="5"/>
    </w:pPr>
    <w:rPr>
      <w:i/>
      <w:color w:val="666666"/>
    </w:rPr>
  </w:style>
  <w:style w:type="character" w:default="1" w:styleId="8">
    <w:name w:val="Default Paragraph Font"/>
    <w:semiHidden/>
    <w:unhideWhenUsed/>
    <w:uiPriority w:val="1"/>
  </w:style>
  <w:style w:type="table" w:default="1" w:styleId="9">
    <w:name w:val="Normal Table"/>
    <w:semiHidden/>
    <w:unhideWhenUsed/>
    <w:uiPriority w:val="99"/>
    <w:tblPr>
      <w:tblStyle w:val="9"/>
      <w:tblCellMar>
        <w:top w:w="0" w:type="dxa"/>
        <w:left w:w="108" w:type="dxa"/>
        <w:bottom w:w="0" w:type="dxa"/>
        <w:right w:w="108" w:type="dxa"/>
      </w:tblCellMar>
    </w:tblPr>
    <w:trPr>
      <w:wBefore w:w="0" w:type="dxa"/>
    </w:trPr>
  </w:style>
  <w:style w:type="paragraph" w:styleId="10">
    <w:name w:val="Title"/>
    <w:basedOn w:val="1"/>
    <w:next w:val="1"/>
    <w:qFormat/>
    <w:uiPriority w:val="10"/>
    <w:pPr>
      <w:keepNext/>
      <w:keepLines/>
      <w:spacing w:after="60"/>
    </w:pPr>
    <w:rPr>
      <w:sz w:val="52"/>
      <w:szCs w:val="52"/>
    </w:rPr>
  </w:style>
  <w:style w:type="paragraph" w:styleId="11">
    <w:name w:val="header"/>
    <w:basedOn w:val="1"/>
    <w:link w:val="15"/>
    <w:unhideWhenUsed/>
    <w:uiPriority w:val="99"/>
    <w:pPr>
      <w:tabs>
        <w:tab w:val="center" w:pos="4252"/>
        <w:tab w:val="right" w:pos="8504"/>
      </w:tabs>
      <w:spacing w:line="240" w:lineRule="auto"/>
    </w:pPr>
  </w:style>
  <w:style w:type="paragraph" w:styleId="12">
    <w:name w:val="footer"/>
    <w:basedOn w:val="1"/>
    <w:link w:val="16"/>
    <w:unhideWhenUsed/>
    <w:uiPriority w:val="99"/>
    <w:pPr>
      <w:tabs>
        <w:tab w:val="center" w:pos="4252"/>
        <w:tab w:val="right" w:pos="8504"/>
      </w:tabs>
      <w:spacing w:line="240" w:lineRule="auto"/>
    </w:pPr>
  </w:style>
  <w:style w:type="paragraph" w:styleId="13">
    <w:name w:val="Subtitle"/>
    <w:basedOn w:val="1"/>
    <w:next w:val="1"/>
    <w:qFormat/>
    <w:uiPriority w:val="11"/>
    <w:pPr>
      <w:keepNext/>
      <w:keepLines/>
      <w:spacing w:after="320"/>
    </w:pPr>
    <w:rPr>
      <w:color w:val="666666"/>
      <w:sz w:val="30"/>
      <w:szCs w:val="30"/>
    </w:rPr>
  </w:style>
  <w:style w:type="table" w:customStyle="1" w:styleId="14">
    <w:name w:val="Table Normal"/>
    <w:uiPriority w:val="0"/>
    <w:pPr>
      <w:spacing w:line="276" w:lineRule="auto"/>
    </w:pPr>
    <w:rPr>
      <w:sz w:val="22"/>
      <w:szCs w:val="22"/>
      <w:lang w:val="pt-BR" w:eastAsia="pt-BR" w:bidi="ar-SA"/>
    </w:rPr>
    <w:tblPr>
      <w:tblStyle w:val="9"/>
      <w:tblCellMar>
        <w:top w:w="0" w:type="dxa"/>
        <w:left w:w="0" w:type="dxa"/>
        <w:bottom w:w="0" w:type="dxa"/>
        <w:right w:w="0" w:type="dxa"/>
      </w:tblCellMar>
    </w:tblPr>
  </w:style>
  <w:style w:type="character" w:customStyle="1" w:styleId="15">
    <w:name w:val="Cabeçalho Char"/>
    <w:basedOn w:val="8"/>
    <w:link w:val="11"/>
    <w:uiPriority w:val="99"/>
  </w:style>
  <w:style w:type="character" w:customStyle="1" w:styleId="16">
    <w:name w:val="Rodapé Char"/>
    <w:basedOn w:val="8"/>
    <w:link w:val="12"/>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1827</Words>
  <Characters>9867</Characters>
  <Lines>82</Lines>
  <Paragraphs>23</Paragraphs>
  <TotalTime>0</TotalTime>
  <ScaleCrop>false</ScaleCrop>
  <LinksUpToDate>false</LinksUpToDate>
  <CharactersWithSpaces>11671</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lastModifiedBy>ianma</cp:lastModifiedBy>
  <dcterms:modified xsi:type="dcterms:W3CDTF">2025-07-06T17:37:31Z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8D1D1A38771245EBB66AB1A0A7F1623E_13</vt:lpwstr>
  </property>
</Properties>
</file>