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8E4" w:rsidRDefault="00DA345B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DESMONTE DA SEGURIDADE SOCIAL NO BRASIL: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o avanço da política neoliberal entre 2015 - 2022</w:t>
      </w:r>
    </w:p>
    <w:p w:rsidR="001878E4" w:rsidRDefault="00DA345B">
      <w:pPr>
        <w:spacing w:line="36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Rita de Cassia de Souza Silva</w:t>
      </w:r>
      <w:r>
        <w:rPr>
          <w:b/>
          <w:sz w:val="24"/>
          <w:szCs w:val="24"/>
          <w:vertAlign w:val="superscript"/>
        </w:rPr>
        <w:footnoteReference w:id="1"/>
      </w:r>
      <w:r>
        <w:rPr>
          <w:b/>
          <w:sz w:val="24"/>
          <w:szCs w:val="24"/>
        </w:rPr>
        <w:t>.</w:t>
      </w:r>
    </w:p>
    <w:p w:rsidR="001878E4" w:rsidRDefault="00DA345B">
      <w:pPr>
        <w:spacing w:line="360" w:lineRule="auto"/>
        <w:jc w:val="right"/>
        <w:rPr>
          <w:sz w:val="24"/>
          <w:szCs w:val="24"/>
        </w:rPr>
      </w:pPr>
      <w:r>
        <w:rPr>
          <w:b/>
          <w:sz w:val="24"/>
          <w:szCs w:val="24"/>
        </w:rPr>
        <w:t xml:space="preserve">Vitoria </w:t>
      </w:r>
      <w:proofErr w:type="spellStart"/>
      <w:r>
        <w:rPr>
          <w:b/>
          <w:sz w:val="24"/>
          <w:szCs w:val="24"/>
        </w:rPr>
        <w:t>Camily</w:t>
      </w:r>
      <w:proofErr w:type="spellEnd"/>
      <w:r>
        <w:rPr>
          <w:b/>
          <w:sz w:val="24"/>
          <w:szCs w:val="24"/>
        </w:rPr>
        <w:t xml:space="preserve"> Coutinho Braz de </w:t>
      </w:r>
      <w:proofErr w:type="spellStart"/>
      <w:r>
        <w:rPr>
          <w:b/>
          <w:sz w:val="24"/>
          <w:szCs w:val="24"/>
        </w:rPr>
        <w:t>Araujo</w:t>
      </w:r>
      <w:proofErr w:type="spellEnd"/>
      <w:r>
        <w:rPr>
          <w:b/>
          <w:sz w:val="24"/>
          <w:szCs w:val="24"/>
        </w:rPr>
        <w:t>.</w:t>
      </w:r>
    </w:p>
    <w:p w:rsidR="001878E4" w:rsidRDefault="00DA345B">
      <w:pPr>
        <w:spacing w:line="240" w:lineRule="auto"/>
        <w:ind w:left="2115"/>
        <w:jc w:val="both"/>
        <w:rPr>
          <w:sz w:val="20"/>
          <w:szCs w:val="20"/>
        </w:rPr>
      </w:pPr>
      <w:r>
        <w:rPr>
          <w:b/>
          <w:sz w:val="20"/>
          <w:szCs w:val="20"/>
        </w:rPr>
        <w:t>Resumo</w:t>
      </w:r>
    </w:p>
    <w:p w:rsidR="00C4767A" w:rsidRDefault="00DA345B" w:rsidP="00C4767A">
      <w:pPr>
        <w:spacing w:after="240" w:line="240" w:lineRule="auto"/>
        <w:ind w:left="2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presente artigo analisa criticamente a trajetória da Seguridade Social brasileira entre 2014 e 2022, nos governos Temer e Bolsonaro, focando no ajuste fiscal como instrumento de </w:t>
      </w:r>
      <w:proofErr w:type="spellStart"/>
      <w:r>
        <w:rPr>
          <w:sz w:val="20"/>
          <w:szCs w:val="20"/>
        </w:rPr>
        <w:t>desfinanciamento</w:t>
      </w:r>
      <w:proofErr w:type="spellEnd"/>
      <w:r>
        <w:rPr>
          <w:sz w:val="20"/>
          <w:szCs w:val="20"/>
        </w:rPr>
        <w:t xml:space="preserve"> da previdência, saúde e assistência social, aprofundando de</w:t>
      </w:r>
      <w:r>
        <w:rPr>
          <w:sz w:val="20"/>
          <w:szCs w:val="20"/>
        </w:rPr>
        <w:t>sigualdades. Baseado na Teoria Social de Karl Marx, o estudo utiliza revisão bibliográfica e análise de dados governamentais para demonstrar que a responsabilidade fiscal é uma justificativa ideológica para a transferência de recursos públicos ao capital f</w:t>
      </w:r>
      <w:r>
        <w:rPr>
          <w:sz w:val="20"/>
          <w:szCs w:val="20"/>
        </w:rPr>
        <w:t>inanceiro. A Constituição Federal de 1988 representou um marco na consolidação da seguridade social no Brasil, resultado de um processo histórico de lutas sociais e disputas políticas, e institucionalizou a seguridade social como um conjunto integrado de p</w:t>
      </w:r>
      <w:r>
        <w:rPr>
          <w:sz w:val="20"/>
          <w:szCs w:val="20"/>
        </w:rPr>
        <w:t>olíticas públicas voltadas à saúde, à assistência social e à previdência. O sistema brasileiro assumiu um formato híbrido, com a saúde universal e não contributiva, a assistência não contributiva e seletiva, e a previdência contributiva, atendendo priorita</w:t>
      </w:r>
      <w:r>
        <w:rPr>
          <w:sz w:val="20"/>
          <w:szCs w:val="20"/>
        </w:rPr>
        <w:t xml:space="preserve">riamente trabalhadores formais. No entanto, a partir dos anos 90, o neoliberalismo e as políticas de ajuste fiscal impuseram limites, levando a um desmonte progressivo. A Emenda Constitucional nº 95/2016, conhecida como “teto de gastos”, congelou despesas </w:t>
      </w:r>
      <w:r>
        <w:rPr>
          <w:sz w:val="20"/>
          <w:szCs w:val="20"/>
        </w:rPr>
        <w:t xml:space="preserve">federais por 20 anos, impactando negativamente o financiamento da saúde, assistência e previdência, conforme dados de 2015 a 2022, que revelam </w:t>
      </w:r>
      <w:proofErr w:type="spellStart"/>
      <w:r>
        <w:rPr>
          <w:sz w:val="20"/>
          <w:szCs w:val="20"/>
        </w:rPr>
        <w:t>subexecução</w:t>
      </w:r>
      <w:proofErr w:type="spellEnd"/>
      <w:r>
        <w:rPr>
          <w:sz w:val="20"/>
          <w:szCs w:val="20"/>
        </w:rPr>
        <w:t xml:space="preserve"> orçamentária </w:t>
      </w:r>
      <w:r w:rsidR="00C4767A">
        <w:rPr>
          <w:sz w:val="20"/>
          <w:szCs w:val="20"/>
        </w:rPr>
        <w:t>e redução de investimentos.</w:t>
      </w:r>
    </w:p>
    <w:p w:rsidR="001878E4" w:rsidRDefault="00DA345B" w:rsidP="00C4767A">
      <w:pPr>
        <w:spacing w:after="240" w:line="240" w:lineRule="auto"/>
        <w:ind w:left="2160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</w:t>
      </w:r>
      <w:r>
        <w:rPr>
          <w:sz w:val="20"/>
          <w:szCs w:val="20"/>
        </w:rPr>
        <w:t>: Seguridade Social; Ajuste Fiscal; Neolib</w:t>
      </w:r>
      <w:r>
        <w:rPr>
          <w:sz w:val="20"/>
          <w:szCs w:val="20"/>
        </w:rPr>
        <w:t>eralismo.</w:t>
      </w:r>
    </w:p>
    <w:p w:rsidR="001878E4" w:rsidRDefault="00DA345B">
      <w:pPr>
        <w:spacing w:line="240" w:lineRule="auto"/>
        <w:ind w:left="2115"/>
        <w:jc w:val="both"/>
        <w:rPr>
          <w:sz w:val="20"/>
          <w:szCs w:val="20"/>
        </w:rPr>
      </w:pPr>
      <w:r>
        <w:rPr>
          <w:b/>
          <w:sz w:val="20"/>
          <w:szCs w:val="20"/>
        </w:rPr>
        <w:t>Abstract</w:t>
      </w:r>
    </w:p>
    <w:p w:rsidR="001878E4" w:rsidRDefault="00DA345B">
      <w:pPr>
        <w:spacing w:line="240" w:lineRule="auto"/>
        <w:ind w:left="211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The </w:t>
      </w:r>
      <w:proofErr w:type="spellStart"/>
      <w:r>
        <w:rPr>
          <w:sz w:val="20"/>
          <w:szCs w:val="20"/>
        </w:rPr>
        <w:t>present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article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critically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analyzes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trajectory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Social Security </w:t>
      </w:r>
      <w:proofErr w:type="spellStart"/>
      <w:r>
        <w:rPr>
          <w:sz w:val="20"/>
          <w:szCs w:val="20"/>
        </w:rPr>
        <w:t>between</w:t>
      </w:r>
      <w:proofErr w:type="spellEnd"/>
      <w:r>
        <w:rPr>
          <w:sz w:val="20"/>
          <w:szCs w:val="20"/>
        </w:rPr>
        <w:t xml:space="preserve"> 2014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2022,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Temer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Bolsonaro </w:t>
      </w:r>
      <w:proofErr w:type="spellStart"/>
      <w:r>
        <w:rPr>
          <w:sz w:val="20"/>
          <w:szCs w:val="20"/>
        </w:rPr>
        <w:t>governments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focusing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fiscal </w:t>
      </w:r>
      <w:proofErr w:type="spellStart"/>
      <w:r>
        <w:rPr>
          <w:sz w:val="20"/>
          <w:szCs w:val="20"/>
        </w:rPr>
        <w:t>adjustment</w:t>
      </w:r>
      <w:proofErr w:type="spellEnd"/>
      <w:r>
        <w:rPr>
          <w:sz w:val="20"/>
          <w:szCs w:val="20"/>
        </w:rPr>
        <w:t xml:space="preserve"> as a tool for </w:t>
      </w:r>
      <w:proofErr w:type="spellStart"/>
      <w:r>
        <w:rPr>
          <w:sz w:val="20"/>
          <w:szCs w:val="20"/>
        </w:rPr>
        <w:t>defunding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soci</w:t>
      </w:r>
      <w:r>
        <w:rPr>
          <w:sz w:val="20"/>
          <w:szCs w:val="20"/>
        </w:rPr>
        <w:t xml:space="preserve">al </w:t>
      </w:r>
      <w:proofErr w:type="spellStart"/>
      <w:r>
        <w:rPr>
          <w:sz w:val="20"/>
          <w:szCs w:val="20"/>
        </w:rPr>
        <w:t>assistance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deepening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inequalities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Based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Karl </w:t>
      </w:r>
      <w:proofErr w:type="spellStart"/>
      <w:r>
        <w:rPr>
          <w:sz w:val="20"/>
          <w:szCs w:val="20"/>
        </w:rPr>
        <w:t>Marx's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Theory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study</w:t>
      </w:r>
      <w:proofErr w:type="spellEnd"/>
      <w:r>
        <w:rPr>
          <w:sz w:val="20"/>
          <w:szCs w:val="20"/>
        </w:rPr>
        <w:t xml:space="preserve"> uses </w:t>
      </w:r>
      <w:proofErr w:type="spellStart"/>
      <w:r>
        <w:rPr>
          <w:sz w:val="20"/>
          <w:szCs w:val="20"/>
        </w:rPr>
        <w:t>bibliographic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review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analysis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governmental</w:t>
      </w:r>
      <w:proofErr w:type="spellEnd"/>
      <w:r>
        <w:rPr>
          <w:sz w:val="20"/>
          <w:szCs w:val="20"/>
        </w:rPr>
        <w:t xml:space="preserve"> data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demonstrate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that</w:t>
      </w:r>
      <w:proofErr w:type="spellEnd"/>
      <w:r>
        <w:rPr>
          <w:sz w:val="20"/>
          <w:szCs w:val="20"/>
        </w:rPr>
        <w:t xml:space="preserve"> fiscal </w:t>
      </w:r>
      <w:proofErr w:type="spellStart"/>
      <w:r>
        <w:rPr>
          <w:sz w:val="20"/>
          <w:szCs w:val="20"/>
        </w:rPr>
        <w:t>responsibility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ideological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justification</w:t>
      </w:r>
      <w:proofErr w:type="spellEnd"/>
      <w:r>
        <w:rPr>
          <w:sz w:val="20"/>
          <w:szCs w:val="20"/>
        </w:rPr>
        <w:t xml:space="preserve"> for </w:t>
      </w:r>
      <w:proofErr w:type="spellStart"/>
      <w:r>
        <w:rPr>
          <w:sz w:val="20"/>
          <w:szCs w:val="20"/>
        </w:rPr>
        <w:t>transferring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funds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fina</w:t>
      </w:r>
      <w:r>
        <w:rPr>
          <w:sz w:val="20"/>
          <w:szCs w:val="20"/>
        </w:rPr>
        <w:t xml:space="preserve">ncial </w:t>
      </w:r>
      <w:proofErr w:type="spellStart"/>
      <w:proofErr w:type="gramStart"/>
      <w:r>
        <w:rPr>
          <w:sz w:val="20"/>
          <w:szCs w:val="20"/>
        </w:rPr>
        <w:t>capital.The</w:t>
      </w:r>
      <w:proofErr w:type="spellEnd"/>
      <w:proofErr w:type="gramEnd"/>
      <w:r>
        <w:rPr>
          <w:sz w:val="20"/>
          <w:szCs w:val="20"/>
        </w:rPr>
        <w:t xml:space="preserve"> 1988 Federal </w:t>
      </w:r>
      <w:proofErr w:type="spellStart"/>
      <w:r>
        <w:rPr>
          <w:sz w:val="20"/>
          <w:szCs w:val="20"/>
        </w:rPr>
        <w:t>Constitution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represented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milestone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consolidation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Brazil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resulting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historical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struggles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political</w:t>
      </w:r>
      <w:proofErr w:type="spellEnd"/>
      <w:r>
        <w:rPr>
          <w:sz w:val="20"/>
          <w:szCs w:val="20"/>
        </w:rPr>
        <w:t xml:space="preserve"> disputes. It </w:t>
      </w:r>
      <w:proofErr w:type="spellStart"/>
      <w:r>
        <w:rPr>
          <w:sz w:val="20"/>
          <w:szCs w:val="20"/>
        </w:rPr>
        <w:t>institutionalized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integrated</w:t>
      </w:r>
      <w:proofErr w:type="spellEnd"/>
      <w:r>
        <w:rPr>
          <w:sz w:val="20"/>
          <w:szCs w:val="20"/>
        </w:rPr>
        <w:t xml:space="preserve"> set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public</w:t>
      </w:r>
      <w:proofErr w:type="spellEnd"/>
      <w:r>
        <w:rPr>
          <w:sz w:val="20"/>
          <w:szCs w:val="20"/>
        </w:rPr>
        <w:t xml:space="preserve"> policies </w:t>
      </w:r>
      <w:proofErr w:type="spellStart"/>
      <w:r>
        <w:rPr>
          <w:sz w:val="20"/>
          <w:szCs w:val="20"/>
        </w:rPr>
        <w:t>aimed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, social </w:t>
      </w:r>
      <w:proofErr w:type="spellStart"/>
      <w:r>
        <w:rPr>
          <w:sz w:val="20"/>
          <w:szCs w:val="20"/>
        </w:rPr>
        <w:t>assistance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. The </w:t>
      </w:r>
      <w:proofErr w:type="spellStart"/>
      <w:r>
        <w:rPr>
          <w:sz w:val="20"/>
          <w:szCs w:val="20"/>
        </w:rPr>
        <w:t>Brazilian</w:t>
      </w:r>
      <w:proofErr w:type="spellEnd"/>
      <w:r>
        <w:rPr>
          <w:sz w:val="20"/>
          <w:szCs w:val="20"/>
        </w:rPr>
        <w:t xml:space="preserve"> system </w:t>
      </w:r>
      <w:proofErr w:type="spellStart"/>
      <w:r>
        <w:rPr>
          <w:sz w:val="20"/>
          <w:szCs w:val="20"/>
        </w:rPr>
        <w:t>adopted</w:t>
      </w:r>
      <w:proofErr w:type="spellEnd"/>
      <w:r>
        <w:rPr>
          <w:sz w:val="20"/>
          <w:szCs w:val="20"/>
        </w:rPr>
        <w:t xml:space="preserve"> a </w:t>
      </w:r>
      <w:proofErr w:type="spellStart"/>
      <w:proofErr w:type="gramStart"/>
      <w:r>
        <w:rPr>
          <w:sz w:val="20"/>
          <w:szCs w:val="20"/>
        </w:rPr>
        <w:t>hybrid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format</w:t>
      </w:r>
      <w:proofErr w:type="spellEnd"/>
      <w:r>
        <w:rPr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universal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non-</w:t>
      </w:r>
      <w:proofErr w:type="spellStart"/>
      <w:r>
        <w:rPr>
          <w:sz w:val="20"/>
          <w:szCs w:val="20"/>
        </w:rPr>
        <w:t>contributory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assistance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also</w:t>
      </w:r>
      <w:proofErr w:type="spellEnd"/>
      <w:r>
        <w:rPr>
          <w:sz w:val="20"/>
          <w:szCs w:val="20"/>
        </w:rPr>
        <w:t xml:space="preserve"> non-</w:t>
      </w:r>
      <w:proofErr w:type="spellStart"/>
      <w:r>
        <w:rPr>
          <w:sz w:val="20"/>
          <w:szCs w:val="20"/>
        </w:rPr>
        <w:t>contributory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selective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contributory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pri</w:t>
      </w:r>
      <w:r>
        <w:rPr>
          <w:sz w:val="20"/>
          <w:szCs w:val="20"/>
        </w:rPr>
        <w:t>marily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serving</w:t>
      </w:r>
      <w:proofErr w:type="spellEnd"/>
      <w:r>
        <w:rPr>
          <w:sz w:val="20"/>
          <w:szCs w:val="20"/>
        </w:rPr>
        <w:t xml:space="preserve"> formal </w:t>
      </w:r>
      <w:proofErr w:type="spellStart"/>
      <w:r>
        <w:rPr>
          <w:sz w:val="20"/>
          <w:szCs w:val="20"/>
        </w:rPr>
        <w:t>workers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However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1990s </w:t>
      </w:r>
      <w:proofErr w:type="spellStart"/>
      <w:r>
        <w:rPr>
          <w:sz w:val="20"/>
          <w:szCs w:val="20"/>
        </w:rPr>
        <w:t>onwards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neoliberalism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fiscal </w:t>
      </w:r>
      <w:proofErr w:type="spellStart"/>
      <w:r>
        <w:rPr>
          <w:sz w:val="20"/>
          <w:szCs w:val="20"/>
        </w:rPr>
        <w:t>adjustment</w:t>
      </w:r>
      <w:proofErr w:type="spellEnd"/>
      <w:r>
        <w:rPr>
          <w:sz w:val="20"/>
          <w:szCs w:val="20"/>
        </w:rPr>
        <w:t xml:space="preserve"> policies </w:t>
      </w:r>
      <w:proofErr w:type="spellStart"/>
      <w:r>
        <w:rPr>
          <w:sz w:val="20"/>
          <w:szCs w:val="20"/>
        </w:rPr>
        <w:t>imposed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limits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leading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progressive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dismantling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lastRenderedPageBreak/>
        <w:t>Constitutional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Amendment</w:t>
      </w:r>
      <w:proofErr w:type="spellEnd"/>
      <w:r>
        <w:rPr>
          <w:sz w:val="20"/>
          <w:szCs w:val="20"/>
        </w:rPr>
        <w:t xml:space="preserve"> No. 95/2016, </w:t>
      </w:r>
      <w:proofErr w:type="spellStart"/>
      <w:r>
        <w:rPr>
          <w:sz w:val="20"/>
          <w:szCs w:val="20"/>
        </w:rPr>
        <w:t>known</w:t>
      </w:r>
      <w:proofErr w:type="spellEnd"/>
      <w:r>
        <w:rPr>
          <w:sz w:val="20"/>
          <w:szCs w:val="20"/>
        </w:rPr>
        <w:t xml:space="preserve"> as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"</w:t>
      </w:r>
      <w:proofErr w:type="spellStart"/>
      <w:r>
        <w:rPr>
          <w:sz w:val="20"/>
          <w:szCs w:val="20"/>
        </w:rPr>
        <w:t>spending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cap</w:t>
      </w:r>
      <w:proofErr w:type="spellEnd"/>
      <w:r>
        <w:rPr>
          <w:sz w:val="20"/>
          <w:szCs w:val="20"/>
        </w:rPr>
        <w:t xml:space="preserve">," </w:t>
      </w:r>
      <w:proofErr w:type="spellStart"/>
      <w:r>
        <w:rPr>
          <w:sz w:val="20"/>
          <w:szCs w:val="20"/>
        </w:rPr>
        <w:t>froze</w:t>
      </w:r>
      <w:proofErr w:type="spellEnd"/>
      <w:r>
        <w:rPr>
          <w:sz w:val="20"/>
          <w:szCs w:val="20"/>
        </w:rPr>
        <w:t xml:space="preserve"> federal </w:t>
      </w:r>
      <w:proofErr w:type="spellStart"/>
      <w:r>
        <w:rPr>
          <w:sz w:val="20"/>
          <w:szCs w:val="20"/>
        </w:rPr>
        <w:t>expenditures</w:t>
      </w:r>
      <w:proofErr w:type="spellEnd"/>
      <w:r>
        <w:rPr>
          <w:sz w:val="20"/>
          <w:szCs w:val="20"/>
        </w:rPr>
        <w:t xml:space="preserve"> for 20 </w:t>
      </w:r>
      <w:proofErr w:type="spellStart"/>
      <w:r>
        <w:rPr>
          <w:sz w:val="20"/>
          <w:szCs w:val="20"/>
        </w:rPr>
        <w:t>years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negatively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impacting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financing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assistance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social </w:t>
      </w:r>
      <w:proofErr w:type="spellStart"/>
      <w:r>
        <w:rPr>
          <w:sz w:val="20"/>
          <w:szCs w:val="20"/>
        </w:rPr>
        <w:t>security</w:t>
      </w:r>
      <w:proofErr w:type="spellEnd"/>
      <w:r>
        <w:rPr>
          <w:sz w:val="20"/>
          <w:szCs w:val="20"/>
        </w:rPr>
        <w:t xml:space="preserve">, as data </w:t>
      </w:r>
      <w:proofErr w:type="spellStart"/>
      <w:r>
        <w:rPr>
          <w:sz w:val="20"/>
          <w:szCs w:val="20"/>
        </w:rPr>
        <w:t>from</w:t>
      </w:r>
      <w:proofErr w:type="spellEnd"/>
      <w:r>
        <w:rPr>
          <w:sz w:val="20"/>
          <w:szCs w:val="20"/>
        </w:rPr>
        <w:t xml:space="preserve"> 2015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2022 </w:t>
      </w:r>
      <w:proofErr w:type="spellStart"/>
      <w:r>
        <w:rPr>
          <w:sz w:val="20"/>
          <w:szCs w:val="20"/>
        </w:rPr>
        <w:t>reveal</w:t>
      </w:r>
      <w:proofErr w:type="spellEnd"/>
      <w:r>
        <w:rPr>
          <w:sz w:val="20"/>
          <w:szCs w:val="20"/>
        </w:rPr>
        <w:t xml:space="preserve"> budget </w:t>
      </w:r>
      <w:proofErr w:type="spellStart"/>
      <w:r>
        <w:rPr>
          <w:sz w:val="20"/>
          <w:szCs w:val="20"/>
        </w:rPr>
        <w:t>under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execution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reduction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investments</w:t>
      </w:r>
      <w:proofErr w:type="spellEnd"/>
      <w:r>
        <w:rPr>
          <w:sz w:val="20"/>
          <w:szCs w:val="20"/>
        </w:rPr>
        <w:t>.</w:t>
      </w:r>
    </w:p>
    <w:p w:rsidR="001878E4" w:rsidRDefault="00DA345B">
      <w:pPr>
        <w:spacing w:line="240" w:lineRule="auto"/>
        <w:ind w:left="2115"/>
        <w:jc w:val="both"/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Keywords</w:t>
      </w:r>
      <w:proofErr w:type="spellEnd"/>
      <w:r>
        <w:rPr>
          <w:b/>
          <w:sz w:val="20"/>
          <w:szCs w:val="20"/>
        </w:rPr>
        <w:t>:</w:t>
      </w:r>
      <w:r>
        <w:rPr>
          <w:sz w:val="20"/>
          <w:szCs w:val="20"/>
        </w:rPr>
        <w:t xml:space="preserve"> Social Security; Fiscal </w:t>
      </w:r>
      <w:proofErr w:type="spellStart"/>
      <w:r>
        <w:rPr>
          <w:sz w:val="20"/>
          <w:szCs w:val="20"/>
        </w:rPr>
        <w:t>Adjustment</w:t>
      </w:r>
      <w:proofErr w:type="spellEnd"/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Neoliberalism</w:t>
      </w:r>
      <w:proofErr w:type="spellEnd"/>
      <w:r>
        <w:rPr>
          <w:sz w:val="20"/>
          <w:szCs w:val="20"/>
        </w:rPr>
        <w:t>.</w:t>
      </w:r>
    </w:p>
    <w:p w:rsidR="001878E4" w:rsidRDefault="001878E4">
      <w:pPr>
        <w:spacing w:line="360" w:lineRule="auto"/>
        <w:jc w:val="both"/>
        <w:rPr>
          <w:sz w:val="24"/>
          <w:szCs w:val="24"/>
        </w:rPr>
      </w:pPr>
    </w:p>
    <w:p w:rsidR="001878E4" w:rsidRDefault="00DA345B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ab/>
        <w:t>INTRODUÇÃO</w:t>
      </w:r>
    </w:p>
    <w:p w:rsidR="00C4767A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presente artigo propõe uma análise crítica da trajetória e dos desafios contemporâneos da Seguridade Social brasileira no período de 2014 a 2022, Governo Temer e Governo Bolsonaro, buscando compreender não como um espaço neutro de ideologia, mas como um c</w:t>
      </w:r>
      <w:r>
        <w:rPr>
          <w:sz w:val="24"/>
          <w:szCs w:val="24"/>
        </w:rPr>
        <w:t xml:space="preserve">ampo de batalha permeado pelas contradições inerentes ao modo de produção capitalista.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4767A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Nosso objetivo principal é desvelar como o ajuste fiscal, promovido pelo avanço neoliberal que vem se intensificando nas últimas décadas, se configurando como um i</w:t>
      </w:r>
      <w:r>
        <w:rPr>
          <w:sz w:val="24"/>
          <w:szCs w:val="24"/>
        </w:rPr>
        <w:t xml:space="preserve">nstrumento de </w:t>
      </w:r>
      <w:proofErr w:type="spellStart"/>
      <w:r>
        <w:rPr>
          <w:sz w:val="24"/>
          <w:szCs w:val="24"/>
        </w:rPr>
        <w:t>desfinanciamento</w:t>
      </w:r>
      <w:proofErr w:type="spellEnd"/>
      <w:r>
        <w:rPr>
          <w:sz w:val="24"/>
          <w:szCs w:val="24"/>
        </w:rPr>
        <w:t xml:space="preserve"> e cortes nos pilares da seguridade social (previdência, saúde e assistência social), aprofundando as desigualdades e a precarização, principalmente da vida da classe trabalhadora. Para tanto, buscando demonstrar que a narrati</w:t>
      </w:r>
      <w:r>
        <w:rPr>
          <w:sz w:val="24"/>
          <w:szCs w:val="24"/>
        </w:rPr>
        <w:t>va de responsabilidade fiscal e/ou sustentabilidade é, na verdade, uma justificativa ideológica para a transferência de recursos do fundo público para o capital financeiro, apresentamos dados empíricos de fontes governamentais.</w:t>
      </w:r>
    </w:p>
    <w:p w:rsidR="00C4767A" w:rsidRDefault="00C4767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A345B">
        <w:rPr>
          <w:sz w:val="24"/>
          <w:szCs w:val="24"/>
        </w:rPr>
        <w:t xml:space="preserve">Do ponto de vista </w:t>
      </w:r>
      <w:r w:rsidR="00DA345B">
        <w:rPr>
          <w:sz w:val="24"/>
          <w:szCs w:val="24"/>
        </w:rPr>
        <w:t>teórico-metodológico, este estudo se baseia na Teoria Social de Karl Marx, o que significa que não nos limitamos à descrição dos fenômenos, mas buscamos apreender as contradições subjacentes e históricas, as relações de classe e as forças motrizes que impu</w:t>
      </w:r>
      <w:r w:rsidR="00DA345B">
        <w:rPr>
          <w:sz w:val="24"/>
          <w:szCs w:val="24"/>
        </w:rPr>
        <w:t xml:space="preserve">lsionam as políticas de austeridade fiscal, especificamente no contexto brasileiro. </w:t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  <w:r w:rsidR="00DA345B">
        <w:rPr>
          <w:sz w:val="24"/>
          <w:szCs w:val="24"/>
        </w:rPr>
        <w:tab/>
      </w:r>
    </w:p>
    <w:p w:rsidR="001878E4" w:rsidRDefault="00DA345B" w:rsidP="00C4767A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metodologia utilizada foi a revisão bibliográfica, com o fim de contextualizar a evolução da seguridade social no Brasil, e concomitantemente o ajuste fiscal, em d</w:t>
      </w:r>
      <w:r>
        <w:rPr>
          <w:sz w:val="24"/>
          <w:szCs w:val="24"/>
        </w:rPr>
        <w:t xml:space="preserve">iálogo com o cenário internacional e as diretrizes de organismos multilaterais. Além disso, utilizaremos a análise de dados primários e secundários para quantificar o impacto dos cortes e do </w:t>
      </w:r>
      <w:proofErr w:type="spellStart"/>
      <w:r>
        <w:rPr>
          <w:sz w:val="24"/>
          <w:szCs w:val="24"/>
        </w:rPr>
        <w:t>desfinanciamento</w:t>
      </w:r>
      <w:proofErr w:type="spellEnd"/>
      <w:r>
        <w:rPr>
          <w:sz w:val="24"/>
          <w:szCs w:val="24"/>
        </w:rPr>
        <w:t xml:space="preserve">, revelando empiricamente as </w:t>
      </w:r>
      <w:r>
        <w:rPr>
          <w:sz w:val="24"/>
          <w:szCs w:val="24"/>
        </w:rPr>
        <w:lastRenderedPageBreak/>
        <w:t>consequências das po</w:t>
      </w:r>
      <w:r>
        <w:rPr>
          <w:sz w:val="24"/>
          <w:szCs w:val="24"/>
        </w:rPr>
        <w:t>líticas neoliberais para os serviços e benefícios oferecidos à população.</w:t>
      </w:r>
    </w:p>
    <w:p w:rsidR="00C4767A" w:rsidRDefault="00C4767A" w:rsidP="00C4767A">
      <w:pPr>
        <w:spacing w:line="360" w:lineRule="auto"/>
        <w:ind w:firstLine="720"/>
        <w:jc w:val="both"/>
        <w:rPr>
          <w:sz w:val="24"/>
          <w:szCs w:val="24"/>
        </w:rPr>
      </w:pPr>
      <w:bookmarkStart w:id="0" w:name="_GoBack"/>
      <w:bookmarkEnd w:id="0"/>
    </w:p>
    <w:p w:rsidR="001878E4" w:rsidRDefault="00DA345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>. SEGURIDADE SOCIAL NO BRASIL: Uma Análise Histórica, Política e Econômica</w:t>
      </w:r>
    </w:p>
    <w:p w:rsidR="001878E4" w:rsidRDefault="00DA345B">
      <w:pPr>
        <w:spacing w:line="360" w:lineRule="auto"/>
        <w:ind w:firstLine="720"/>
        <w:jc w:val="both"/>
        <w:rPr>
          <w:b/>
          <w:sz w:val="24"/>
          <w:szCs w:val="24"/>
        </w:rPr>
      </w:pPr>
      <w:r>
        <w:rPr>
          <w:sz w:val="24"/>
          <w:szCs w:val="24"/>
        </w:rPr>
        <w:t>A Constituição Federal de 1988 representou um marco na consolidação da Seguridade Social no Brasil, resul</w:t>
      </w:r>
      <w:r>
        <w:rPr>
          <w:sz w:val="24"/>
          <w:szCs w:val="24"/>
        </w:rPr>
        <w:t xml:space="preserve">tado de um processo histórico de lutas sociais e disputas políticas entre diferentes projetos de sociedade. Durante esse processo, a população brasileira se mobilizou ativamente pela construção de um sistema de proteção social amplo, inspirado nos modelos </w:t>
      </w:r>
      <w:r>
        <w:rPr>
          <w:sz w:val="24"/>
          <w:szCs w:val="24"/>
        </w:rPr>
        <w:t xml:space="preserve">europeus de </w:t>
      </w:r>
      <w:proofErr w:type="spellStart"/>
      <w:r>
        <w:rPr>
          <w:sz w:val="24"/>
          <w:szCs w:val="24"/>
        </w:rPr>
        <w:t>Welfare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State</w:t>
      </w:r>
      <w:proofErr w:type="spellEnd"/>
      <w:r>
        <w:rPr>
          <w:sz w:val="24"/>
          <w:szCs w:val="24"/>
        </w:rPr>
        <w:t>, buscando por liberdade, justiça social e garantia de direitos, especialmente para a população historicamente marginalizada</w:t>
      </w:r>
      <w:r>
        <w:rPr>
          <w:b/>
          <w:sz w:val="24"/>
          <w:szCs w:val="24"/>
        </w:rPr>
        <w:t xml:space="preserve">. 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disso, a Seguridade Social foi institucionalizada como um conjunto integrado de políticas pública</w:t>
      </w:r>
      <w:r>
        <w:rPr>
          <w:sz w:val="24"/>
          <w:szCs w:val="24"/>
        </w:rPr>
        <w:t>s voltadas à saúde, à assistência social e à previdência, com o objetivo de garantir os direitos sociais fundamentais à população. Esse processo foi marcado por tensões entre dois projetos antagônicos: de um lado, a perspectiva progressista, que defendia a</w:t>
      </w:r>
      <w:r>
        <w:rPr>
          <w:sz w:val="24"/>
          <w:szCs w:val="24"/>
        </w:rPr>
        <w:t xml:space="preserve"> universalização dos direitos sociais e o fortalecimento do papel do Estado, de outro, a orientação liberal, que propunha a limitação da atuação estatal e a ampliação da lógica da privatização na oferta dos serviços públicos. Apesar dessas disputas, a CF 8</w:t>
      </w:r>
      <w:r>
        <w:rPr>
          <w:sz w:val="24"/>
          <w:szCs w:val="24"/>
        </w:rPr>
        <w:t>8 consagrou a Seguridade Social como um direito de todos e dever do Estado, organizada em um sistema tripartite.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Historicamente, a formação da seguridade social brasileira foi influenciada por dois modelos internacionais. O modelo </w:t>
      </w:r>
      <w:proofErr w:type="spellStart"/>
      <w:r>
        <w:rPr>
          <w:sz w:val="24"/>
          <w:szCs w:val="24"/>
        </w:rPr>
        <w:t>Bismarckiano</w:t>
      </w:r>
      <w:proofErr w:type="spellEnd"/>
      <w:r>
        <w:rPr>
          <w:sz w:val="24"/>
          <w:szCs w:val="24"/>
        </w:rPr>
        <w:t xml:space="preserve">, de caráter </w:t>
      </w:r>
      <w:r>
        <w:rPr>
          <w:sz w:val="24"/>
          <w:szCs w:val="24"/>
        </w:rPr>
        <w:t xml:space="preserve">contributivo e seletivo, originado na Alemanha no século XIX, voltado aos trabalhadores formais e o modelo </w:t>
      </w:r>
      <w:proofErr w:type="spellStart"/>
      <w:r>
        <w:rPr>
          <w:sz w:val="24"/>
          <w:szCs w:val="24"/>
        </w:rPr>
        <w:t>Beveridgiano</w:t>
      </w:r>
      <w:proofErr w:type="spellEnd"/>
      <w:r>
        <w:rPr>
          <w:sz w:val="24"/>
          <w:szCs w:val="24"/>
        </w:rPr>
        <w:t>, de caráter universal, não contributivo e financiado por impostos, que inspirou os princípios do SUS e do SUAS. No entanto, o sistema br</w:t>
      </w:r>
      <w:r>
        <w:rPr>
          <w:sz w:val="24"/>
          <w:szCs w:val="24"/>
        </w:rPr>
        <w:t xml:space="preserve">asileiro assumiu um formato híbrido sendo:  a </w:t>
      </w:r>
      <w:proofErr w:type="gramStart"/>
      <w:r>
        <w:rPr>
          <w:sz w:val="24"/>
          <w:szCs w:val="24"/>
        </w:rPr>
        <w:t>saúde  universal</w:t>
      </w:r>
      <w:proofErr w:type="gramEnd"/>
      <w:r>
        <w:rPr>
          <w:sz w:val="24"/>
          <w:szCs w:val="24"/>
        </w:rPr>
        <w:t xml:space="preserve"> e não contributiva; a assistência, também não contributiva com caráter seletivo; e a previdência, contributiva, atendendo prioritariamente aos trabalhadores formais.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No Brasil a seguridade soci</w:t>
      </w:r>
      <w:r>
        <w:rPr>
          <w:sz w:val="24"/>
          <w:szCs w:val="24"/>
        </w:rPr>
        <w:t>al representa uma das mais significativas conquistas democráticas institucionais da sociedade brasileira, especialmente após o período de redemocratização. Sua consolidação como um sistema de proteção social integrado foi um marco importante, mas sua traje</w:t>
      </w:r>
      <w:r>
        <w:rPr>
          <w:sz w:val="24"/>
          <w:szCs w:val="24"/>
        </w:rPr>
        <w:t>tória histórica é marcada por avanços, tensões e retrocessos que refletem as disputas políticas e econômicas em torno das múltiplas expressões da “questão social”.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Politicamente, o avanço da seguridade social foi fortemente impactado pela implementação do </w:t>
      </w:r>
      <w:r>
        <w:rPr>
          <w:sz w:val="24"/>
          <w:szCs w:val="24"/>
        </w:rPr>
        <w:t xml:space="preserve">neoliberalismo a partir da década de 1990. As políticas de ajuste fiscal, privatizações e a ampliação do terceiro setor impuseram limites à efetividade das políticas sociais previstas na Constituição. </w:t>
      </w:r>
    </w:p>
    <w:p w:rsidR="001878E4" w:rsidRDefault="00DA345B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Essa conjuntura desencadeou um processo de desmonte pr</w:t>
      </w:r>
      <w:r>
        <w:rPr>
          <w:sz w:val="24"/>
          <w:szCs w:val="24"/>
        </w:rPr>
        <w:t>ogressivo das políticas públicas de seguridade social, impedindo que os direitos assegurados pela Constituição fossem plenamente efetivados, o que impactou negativamente toda a população. Assim, a trajetória da seguridade social no Brasil é marcada por con</w:t>
      </w:r>
      <w:r>
        <w:rPr>
          <w:sz w:val="24"/>
          <w:szCs w:val="24"/>
        </w:rPr>
        <w:t xml:space="preserve">tradições, por um lado, representa um </w:t>
      </w:r>
      <w:proofErr w:type="gramStart"/>
      <w:r>
        <w:rPr>
          <w:sz w:val="24"/>
          <w:szCs w:val="24"/>
        </w:rPr>
        <w:t>grande  avanço</w:t>
      </w:r>
      <w:proofErr w:type="gramEnd"/>
      <w:r>
        <w:rPr>
          <w:sz w:val="24"/>
          <w:szCs w:val="24"/>
        </w:rPr>
        <w:t xml:space="preserve"> histórico a partir da garantia dos direitos sociais, por outro, sofre constantes ameaças e retrocessos devido à lógica mercantil capitalista. </w:t>
      </w:r>
    </w:p>
    <w:p w:rsidR="001878E4" w:rsidRDefault="001878E4">
      <w:pPr>
        <w:spacing w:line="360" w:lineRule="auto"/>
        <w:ind w:firstLine="720"/>
        <w:rPr>
          <w:sz w:val="24"/>
          <w:szCs w:val="24"/>
        </w:rPr>
      </w:pPr>
    </w:p>
    <w:p w:rsidR="001878E4" w:rsidRDefault="00DA345B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  AJUSTE FISCAL E AVANÇO NEOLIBERAL: sua ligação com o Fundo Público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ajuste fiscal é um termo que ressoa com grande frequência nos debates econômicos, políticos e sociais na atualidade, entende-lo exige uma análise que se inicie em suas manifestações i</w:t>
      </w:r>
      <w:r>
        <w:rPr>
          <w:sz w:val="24"/>
          <w:szCs w:val="24"/>
        </w:rPr>
        <w:t>nternacionais para, então, contextualizá-lo na realidade brasileira.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Internacionalmente, o ajuste fiscal surge como uma resposta a crises econômicas, o endividamento público excessivo, e/ou pressões de organismos financeiros internacionais como o Fundo Mon</w:t>
      </w:r>
      <w:r>
        <w:rPr>
          <w:sz w:val="24"/>
          <w:szCs w:val="24"/>
        </w:rPr>
        <w:t xml:space="preserve">etário Internacional (FMI) e o Banco Mundial. Seus fundamentos teóricos, frequentemente alinhados ao consenso de Washington, preconizam a redução dos gastos públicos, a privatização de empresas estatais, a desregulamentação de mercados, cortes e </w:t>
      </w:r>
      <w:proofErr w:type="spellStart"/>
      <w:r>
        <w:rPr>
          <w:sz w:val="24"/>
          <w:szCs w:val="24"/>
        </w:rPr>
        <w:t>desfinanci</w:t>
      </w:r>
      <w:r>
        <w:rPr>
          <w:sz w:val="24"/>
          <w:szCs w:val="24"/>
        </w:rPr>
        <w:t>amento</w:t>
      </w:r>
      <w:proofErr w:type="spellEnd"/>
      <w:r>
        <w:rPr>
          <w:sz w:val="24"/>
          <w:szCs w:val="24"/>
        </w:rPr>
        <w:t xml:space="preserve"> e a abertura </w:t>
      </w:r>
      <w:r>
        <w:rPr>
          <w:sz w:val="24"/>
          <w:szCs w:val="24"/>
        </w:rPr>
        <w:lastRenderedPageBreak/>
        <w:t xml:space="preserve">comercial como pilares para a estabilização econômica e o crescimento. Com o pressuposto que um Estado enxuto e fiscalmente responsável cria um ambiente mais propício ao investimento privado e, consequentemente, ao desenvolvimento. 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</w:t>
      </w:r>
      <w:r>
        <w:rPr>
          <w:sz w:val="24"/>
          <w:szCs w:val="24"/>
        </w:rPr>
        <w:t>ta maneira, o ajuste se traduz em cortes em áreas sociais como saúde, educação, previdência entre outros âmbitos, além do aumento de impostos, sobretudo aqueles que recaem sobre o consumo, penalizando as camadas da população mais pauperizadas. Quando anali</w:t>
      </w:r>
      <w:r>
        <w:rPr>
          <w:sz w:val="24"/>
          <w:szCs w:val="24"/>
        </w:rPr>
        <w:t xml:space="preserve">samos mais profundamente, compreendemos o ajuste fiscal não apenas como uma ferramenta neutra de gestão econômica, mas uma estratégia política profundamente ideológica, que produz e reproduz as relações de poder existentes na </w:t>
      </w:r>
      <w:proofErr w:type="gramStart"/>
      <w:r>
        <w:rPr>
          <w:sz w:val="24"/>
          <w:szCs w:val="24"/>
        </w:rPr>
        <w:t>sociedade..</w:t>
      </w:r>
      <w:proofErr w:type="gramEnd"/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contexto brasil</w:t>
      </w:r>
      <w:r>
        <w:rPr>
          <w:sz w:val="24"/>
          <w:szCs w:val="24"/>
        </w:rPr>
        <w:t xml:space="preserve">eiro, a inserção do ajuste fiscal no debate e na prática política tem sido uma constante, e com maior intensidade, nos últimos anos. Seja em momentos de crise, como a crise de 2008 ou mais recentemente, com o teto de gastos materializada através da Emenda </w:t>
      </w:r>
      <w:r>
        <w:rPr>
          <w:sz w:val="24"/>
          <w:szCs w:val="24"/>
        </w:rPr>
        <w:t>Constitucional 95, utilizando da retórica da "responsabilidade fiscal" como o principal argumento para justificar cortes e reformas, além da narrativa de que o Estado Brasileiro gasta "demais" com políticas sociais e que o setor público é ineficiente, gera</w:t>
      </w:r>
      <w:r>
        <w:rPr>
          <w:sz w:val="24"/>
          <w:szCs w:val="24"/>
        </w:rPr>
        <w:t>ndo de tal forma a necessidade da iniciativa privada.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ajuste fiscal, nesta perspectiva, desconsidera as profundas desigualdades sociais e a fragilidade das políticas sociais já existentes, aprofundando as vulnerabilidades das camadas mais pobres da socie</w:t>
      </w:r>
      <w:r>
        <w:rPr>
          <w:sz w:val="24"/>
          <w:szCs w:val="24"/>
        </w:rPr>
        <w:t xml:space="preserve">dade, que dependem diretamente dos serviços públicos e dos programas sociais. A redução de investimentos em educação, saúde e assistência social não apenas </w:t>
      </w:r>
      <w:proofErr w:type="spellStart"/>
      <w:r>
        <w:rPr>
          <w:sz w:val="24"/>
          <w:szCs w:val="24"/>
        </w:rPr>
        <w:t>precariza</w:t>
      </w:r>
      <w:proofErr w:type="spellEnd"/>
      <w:r>
        <w:rPr>
          <w:sz w:val="24"/>
          <w:szCs w:val="24"/>
        </w:rPr>
        <w:t xml:space="preserve"> a vida dessas pessoas, mas também perpetua o ciclo da pobreza e da exclusão, produzindo e </w:t>
      </w:r>
      <w:r>
        <w:rPr>
          <w:sz w:val="24"/>
          <w:szCs w:val="24"/>
        </w:rPr>
        <w:t>reproduzindo a miséria. Pois, enquanto setores sociais são penalizados com cortes e contingenciamentos, outros recebem incentivos fiscais e privilégios. A exemplo da dívida pública, que revela como grande parte do fundo público é comprometido com o pagamen</w:t>
      </w:r>
      <w:r>
        <w:rPr>
          <w:sz w:val="24"/>
          <w:szCs w:val="24"/>
        </w:rPr>
        <w:t xml:space="preserve">to de juros, beneficiando o setor privado-financeiro, enquanto a austeridade fiscal recai sobre os serviços públicos e os trabalhadores. Tal dinâmica, revela que o </w:t>
      </w:r>
      <w:r>
        <w:rPr>
          <w:sz w:val="24"/>
          <w:szCs w:val="24"/>
        </w:rPr>
        <w:lastRenderedPageBreak/>
        <w:t>ajuste fiscal não é neutro em seus efeitos, mas possui consequências distributivas que conce</w:t>
      </w:r>
      <w:r>
        <w:rPr>
          <w:sz w:val="24"/>
          <w:szCs w:val="24"/>
        </w:rPr>
        <w:t>ntram poder e renda.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contexto brasileiro o ajuste fiscal serve como pretexto para o avanço neoliberal que, na prática, desmantela, desregulamenta e </w:t>
      </w:r>
      <w:proofErr w:type="spellStart"/>
      <w:r>
        <w:rPr>
          <w:sz w:val="24"/>
          <w:szCs w:val="24"/>
        </w:rPr>
        <w:t>desfinancia</w:t>
      </w:r>
      <w:proofErr w:type="spellEnd"/>
      <w:r>
        <w:rPr>
          <w:sz w:val="24"/>
          <w:szCs w:val="24"/>
        </w:rPr>
        <w:t xml:space="preserve"> as políticas públicas, com a retórica da "responsabilidade fiscal" que encobre a real intençã</w:t>
      </w:r>
      <w:r>
        <w:rPr>
          <w:sz w:val="24"/>
          <w:szCs w:val="24"/>
        </w:rPr>
        <w:t>o, de diminuir o papel do Estado e mercantilizar direitos que são essenciais para a população. Em resumo, o ajuste fiscal, com sua roupagem neoliberal, não é uma medida neutra; ele desmantela a seguridade social e outras políticas, aprofundando desigualdad</w:t>
      </w:r>
      <w:r>
        <w:rPr>
          <w:sz w:val="24"/>
          <w:szCs w:val="24"/>
        </w:rPr>
        <w:t>es e comprometendo a construção de uma sociedade mais justa, reproduzindo a lógica do sistema capitalista.</w:t>
      </w:r>
    </w:p>
    <w:p w:rsidR="001878E4" w:rsidRDefault="001878E4">
      <w:pPr>
        <w:ind w:firstLine="720"/>
        <w:jc w:val="both"/>
        <w:rPr>
          <w:sz w:val="24"/>
          <w:szCs w:val="24"/>
        </w:rPr>
      </w:pPr>
    </w:p>
    <w:p w:rsidR="001878E4" w:rsidRDefault="00DA345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4. DESFINANCIAMENTO DA SEGURIDADE SOCIAL: análise dos dados orçamentários (2015 - 2022)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cenário de precarização das políticas públicas e d</w:t>
      </w:r>
      <w:r>
        <w:rPr>
          <w:sz w:val="24"/>
          <w:szCs w:val="24"/>
        </w:rPr>
        <w:t>o desmonte progressivo da seguridade social, torna-se fundamental a análise detalhada do orçamento destinado a esse campo, a fim de compreendermos os avanços e os impactos das políticas neoliberais que vêm sendo cada vez mais implementadas na sociedade bra</w:t>
      </w:r>
      <w:r>
        <w:rPr>
          <w:sz w:val="24"/>
          <w:szCs w:val="24"/>
        </w:rPr>
        <w:t xml:space="preserve">sileira. Segundo </w:t>
      </w:r>
      <w:proofErr w:type="spellStart"/>
      <w:r>
        <w:rPr>
          <w:sz w:val="24"/>
          <w:szCs w:val="24"/>
        </w:rPr>
        <w:t>Behring</w:t>
      </w:r>
      <w:proofErr w:type="spellEnd"/>
      <w:r>
        <w:rPr>
          <w:sz w:val="24"/>
          <w:szCs w:val="24"/>
        </w:rPr>
        <w:t xml:space="preserve"> (2003), as políticas de cunho neoliberal não se limitam à adoção de medidas econômicas pontuais, mas configuram uma racionalidade política que redefine o papel do Estado, promovendo a redução do financiamento público e a reestrutur</w:t>
      </w:r>
      <w:r>
        <w:rPr>
          <w:sz w:val="24"/>
          <w:szCs w:val="24"/>
        </w:rPr>
        <w:t>ação das políticas sociais sobre a lógica do mercado.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  <w:t xml:space="preserve">Nesse contexto, a seguridade social passa a sofrer um gradativo </w:t>
      </w:r>
      <w:proofErr w:type="spellStart"/>
      <w:r>
        <w:rPr>
          <w:sz w:val="24"/>
          <w:szCs w:val="24"/>
        </w:rPr>
        <w:t>desfinanciamento</w:t>
      </w:r>
      <w:proofErr w:type="spellEnd"/>
      <w:r>
        <w:rPr>
          <w:sz w:val="24"/>
          <w:szCs w:val="24"/>
        </w:rPr>
        <w:t xml:space="preserve"> orçamentário. A partir da análise dos dados, é possível observar uma queda nos investimentos públicos, nas áreas que com</w:t>
      </w:r>
      <w:r>
        <w:rPr>
          <w:sz w:val="24"/>
          <w:szCs w:val="24"/>
        </w:rPr>
        <w:t>põem a seguridade social, o que compromete diretamente a oferta de serviços essenciais à população, especialmente para os segmentos mais vulneráveis. Segundo dados do Instituto de Pesquisa Econômica Aplicada (IPEA, 2022), os cortes orçamentários na área da</w:t>
      </w:r>
      <w:r>
        <w:rPr>
          <w:sz w:val="24"/>
          <w:szCs w:val="24"/>
        </w:rPr>
        <w:t xml:space="preserve"> saúde e da assistência social impactam diretamente a capacidade dos serviços </w:t>
      </w:r>
      <w:r>
        <w:rPr>
          <w:sz w:val="24"/>
          <w:szCs w:val="24"/>
        </w:rPr>
        <w:lastRenderedPageBreak/>
        <w:t>públicos, com redução de mais de 30% no financiamento da proteção social entre 2016 e 2022.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Esse cenário se agravou com a promulgação da Emenda Constitucional nº 95/2016, ta</w:t>
      </w:r>
      <w:r>
        <w:rPr>
          <w:sz w:val="24"/>
          <w:szCs w:val="24"/>
        </w:rPr>
        <w:t>mbém conhecida como “teto de gastos”, que estabeleceu o congelamento das despesas primárias do orçamento federal por um período de 20 anos, representando um marco nas políticas de austeridade fiscal no país, com sérias consequências para o financiamento da</w:t>
      </w:r>
      <w:r>
        <w:rPr>
          <w:sz w:val="24"/>
          <w:szCs w:val="24"/>
        </w:rPr>
        <w:t>s políticas sociais.</w:t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ilustrar o impacto dessas políticas de austeridade fiscal no orçamento da seguridade social, apresentamos a seguir os dados referentes às </w:t>
      </w:r>
      <w:proofErr w:type="gramStart"/>
      <w:r>
        <w:rPr>
          <w:sz w:val="24"/>
          <w:szCs w:val="24"/>
        </w:rPr>
        <w:t>funções  Saúde</w:t>
      </w:r>
      <w:proofErr w:type="gramEnd"/>
      <w:r>
        <w:rPr>
          <w:sz w:val="24"/>
          <w:szCs w:val="24"/>
        </w:rPr>
        <w:t>, Assistência e Previdência no orçamento público federal, considerando os valores autorizados e pag</w:t>
      </w:r>
      <w:r>
        <w:rPr>
          <w:sz w:val="24"/>
          <w:szCs w:val="24"/>
        </w:rPr>
        <w:t xml:space="preserve">os entre os anos de 2015 e 2022, ajustados pelo IPCA. A análise desses dados nos permite observar a variação nos investimentos públicos nos períodos anteriores e posteriores à implementação da </w:t>
      </w:r>
      <w:proofErr w:type="gramStart"/>
      <w:r>
        <w:rPr>
          <w:sz w:val="24"/>
          <w:szCs w:val="24"/>
        </w:rPr>
        <w:t>EC  nº</w:t>
      </w:r>
      <w:proofErr w:type="gramEnd"/>
      <w:r>
        <w:rPr>
          <w:sz w:val="24"/>
          <w:szCs w:val="24"/>
        </w:rPr>
        <w:t xml:space="preserve"> 95/2016.</w:t>
      </w:r>
    </w:p>
    <w:p w:rsidR="001878E4" w:rsidRDefault="00DA345B">
      <w:p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01 –</w:t>
      </w:r>
      <w:r>
        <w:rPr>
          <w:sz w:val="24"/>
          <w:szCs w:val="24"/>
        </w:rPr>
        <w:t xml:space="preserve"> Função Saúde - autorizado e pago, 2</w:t>
      </w:r>
      <w:r>
        <w:rPr>
          <w:sz w:val="24"/>
          <w:szCs w:val="24"/>
        </w:rPr>
        <w:t>015 a 2022 – IPCA, valores em milhões de reais – R$)</w:t>
      </w:r>
    </w:p>
    <w:p w:rsidR="001878E4" w:rsidRDefault="00DA345B">
      <w:pPr>
        <w:spacing w:before="240" w:after="240"/>
        <w:jc w:val="both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533073" cy="1841226"/>
            <wp:effectExtent l="0" t="0" r="0" b="0"/>
            <wp:docPr id="102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3073" cy="18412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elaboração própria com base nos dados coletados no SIGA Brasil/Painel Especialista. Disponíveis em: https://www12.senado.leg.br/orcamento/sigabrasil. Acesso: 05 jul. 2025</w:t>
      </w:r>
    </w:p>
    <w:p w:rsidR="001878E4" w:rsidRDefault="00DA345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Conforme observado, a Ta</w:t>
      </w:r>
      <w:r>
        <w:rPr>
          <w:sz w:val="24"/>
          <w:szCs w:val="24"/>
        </w:rPr>
        <w:t xml:space="preserve">bela 01 apresenta os valores autorizados e pagos na função Saúde entre os anos de 2015, 2016, 2020 e 2022, expressos em milhões </w:t>
      </w:r>
    </w:p>
    <w:p w:rsidR="001878E4" w:rsidRDefault="00DA345B">
      <w:pPr>
        <w:spacing w:before="240" w:after="240" w:line="36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de</w:t>
      </w:r>
      <w:proofErr w:type="gramEnd"/>
      <w:r>
        <w:rPr>
          <w:sz w:val="24"/>
          <w:szCs w:val="24"/>
        </w:rPr>
        <w:t xml:space="preserve"> reais e adaptados pelo IPCA. Os dados revelam um padrão de </w:t>
      </w:r>
      <w:proofErr w:type="spellStart"/>
      <w:r>
        <w:rPr>
          <w:sz w:val="24"/>
          <w:szCs w:val="24"/>
        </w:rPr>
        <w:t>subexecução</w:t>
      </w:r>
      <w:proofErr w:type="spellEnd"/>
      <w:r>
        <w:rPr>
          <w:sz w:val="24"/>
          <w:szCs w:val="24"/>
        </w:rPr>
        <w:t xml:space="preserve"> orçamentária, com os valores pagos sempre inferiores </w:t>
      </w:r>
      <w:r>
        <w:rPr>
          <w:sz w:val="24"/>
          <w:szCs w:val="24"/>
        </w:rPr>
        <w:t>aos autorizados, indicando limitações na execução das políticas públicas no país.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Em 2015, foram autorizados aproximadamente R$ 202,2 bilhões, dos quais apenas R$ 160,2 bilhões foram efetivamente pagos, resultando em uma diferença de R$ 42 bilhões não </w:t>
      </w:r>
      <w:r>
        <w:rPr>
          <w:sz w:val="24"/>
          <w:szCs w:val="24"/>
        </w:rPr>
        <w:t>executados. Em 2016, essa diferença se manteve significativa: foram autorizados R$ 182,1 bilhões e pagos R$ 156,4 bilhões, deixando de ser utilizados cerca de R$ 25,7 bilhões.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No ano de 2020, observa-se um aumento expressivo nos recursos destinados </w:t>
      </w:r>
      <w:r>
        <w:rPr>
          <w:sz w:val="24"/>
          <w:szCs w:val="24"/>
        </w:rPr>
        <w:t>à saúde, com R$ 256,1 bilhões autorizados e R$ 204,6 bilhões pagos, reflexo direto das medidas emergenciais adotadas durante a pandemia da COVID-19. Apesar do reforço orçamentário, cerca de R$ 51,5 bilhões não foram utilizados, constituindo a maior discrep</w:t>
      </w:r>
      <w:r>
        <w:rPr>
          <w:sz w:val="24"/>
          <w:szCs w:val="24"/>
        </w:rPr>
        <w:t>ância entre valores autorizados e pagos no período analisado.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Já em 2022, com a diminuição da crise sanitária, houve uma redução significativa no orçamento da saúde. O valor autorizado foi de R$ 185,2 bilhões, enquanto R$ 157 bilhões foram efetivamente pa</w:t>
      </w:r>
      <w:r>
        <w:rPr>
          <w:sz w:val="24"/>
          <w:szCs w:val="24"/>
        </w:rPr>
        <w:t xml:space="preserve">gos, resultando em uma diferença de R$ 28,2 bilhões. Essa redução evidencia a tendência da redução nos investimentos da política de saúde, mesmo diante das sequelas apresentadas pela população pós </w:t>
      </w:r>
      <w:proofErr w:type="spellStart"/>
      <w:r>
        <w:rPr>
          <w:sz w:val="24"/>
          <w:szCs w:val="24"/>
        </w:rPr>
        <w:t>covid</w:t>
      </w:r>
      <w:proofErr w:type="spellEnd"/>
      <w:r>
        <w:rPr>
          <w:sz w:val="24"/>
          <w:szCs w:val="24"/>
        </w:rPr>
        <w:t>. Em todos os anos analisados, a persistente diferença</w:t>
      </w:r>
      <w:r>
        <w:rPr>
          <w:sz w:val="24"/>
          <w:szCs w:val="24"/>
        </w:rPr>
        <w:t xml:space="preserve"> entre os valores autorizados e pagos levanta questionamentos sobre as prioridades do governo no que se refere ao financiamento da política de saúde. A </w:t>
      </w:r>
      <w:proofErr w:type="spellStart"/>
      <w:r>
        <w:rPr>
          <w:sz w:val="24"/>
          <w:szCs w:val="24"/>
        </w:rPr>
        <w:t>subexecução</w:t>
      </w:r>
      <w:proofErr w:type="spellEnd"/>
      <w:r>
        <w:rPr>
          <w:sz w:val="24"/>
          <w:szCs w:val="24"/>
        </w:rPr>
        <w:t xml:space="preserve"> orçamentária pode estar relacionada à estratégia de contenção de gastos para geração de supe</w:t>
      </w:r>
      <w:r>
        <w:rPr>
          <w:sz w:val="24"/>
          <w:szCs w:val="24"/>
        </w:rPr>
        <w:t>rávit primário, alinhada à lógica fiscalista imposta pela Emenda Constitucional nº 95/2016. Tal cenário revela o desequilíbrio entre a responsabilidade fiscal e a necessidade de garantir o direito à saúde, afetando de forma mais intensa as populações em si</w:t>
      </w:r>
      <w:r>
        <w:rPr>
          <w:sz w:val="24"/>
          <w:szCs w:val="24"/>
        </w:rPr>
        <w:t xml:space="preserve">tuação de vulnerabilidade social. </w:t>
      </w:r>
    </w:p>
    <w:p w:rsidR="001878E4" w:rsidRDefault="00DA345B">
      <w:p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Tabela 02 –</w:t>
      </w:r>
      <w:r>
        <w:rPr>
          <w:sz w:val="24"/>
          <w:szCs w:val="24"/>
        </w:rPr>
        <w:t xml:space="preserve"> Função Assistência Social - autorizado e pago, 2015 a 2022 – IPCA, valores em milhões de reais – R$)</w:t>
      </w:r>
    </w:p>
    <w:p w:rsidR="001878E4" w:rsidRDefault="00DA345B">
      <w:pPr>
        <w:spacing w:before="240" w:after="240"/>
        <w:jc w:val="both"/>
        <w:rPr>
          <w:sz w:val="20"/>
          <w:szCs w:val="20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5759775" cy="1943100"/>
            <wp:effectExtent l="0" t="0" r="0" b="0"/>
            <wp:docPr id="10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elaboração própria com base nos dados coletados no SIGA Brasil/Painel Especialista. Disponíveis em: </w:t>
      </w:r>
      <w:r>
        <w:rPr>
          <w:sz w:val="20"/>
          <w:szCs w:val="20"/>
        </w:rPr>
        <w:t>https://www12.senado.leg.br/orcamento/sigabrasil. Acesso: 05 jul. 2025</w:t>
      </w:r>
    </w:p>
    <w:p w:rsidR="001878E4" w:rsidRDefault="00DA345B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Na tabela acima, observa-se os dados dos valores autorizados e pagos da função Assistência Social nos anos de 2015, 2016, 2020 e 2022, considerando o contexto anterior e posterior à Eme</w:t>
      </w:r>
      <w:r>
        <w:rPr>
          <w:sz w:val="24"/>
          <w:szCs w:val="24"/>
        </w:rPr>
        <w:t>nda Constitucional 95. Em 2015, antes da EC 95, foram autorizados R$ 133,6 bilhões e pagos R$ 118 bilhões, evidenciando que R$ 15,6 bilhões não foram executados. Em 2016, ainda antes da EC 95, mas em período de transição, o valor autorizado foi de R$ 129,7</w:t>
      </w:r>
      <w:r>
        <w:rPr>
          <w:sz w:val="24"/>
          <w:szCs w:val="24"/>
        </w:rPr>
        <w:t xml:space="preserve"> bilhões, com pagamento de R$ 121,1 bilhões, novamente apresentando execução inferior ao previsto.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Já em 2020, após a aprovação da EC 95 e no contexto de pandemia da COVID-19, observa-se um aumento expressivo no orçamento destinado à Assistência Social, </w:t>
      </w:r>
      <w:r>
        <w:rPr>
          <w:sz w:val="24"/>
          <w:szCs w:val="24"/>
        </w:rPr>
        <w:t>com R$ 633,3 bilhões autorizados e R$ 558,3 bilhões pagos. Esse acréscimo de aproximadamente R$ 503,6 bilhões em relação a 2016 se explica pelas medidas emergenciais implementadas para enfrentar as consequências da crise sanitária e econômica, como exemplo</w:t>
      </w:r>
      <w:r>
        <w:rPr>
          <w:sz w:val="24"/>
          <w:szCs w:val="24"/>
        </w:rPr>
        <w:t xml:space="preserve"> o Auxílio Emergencial que foi indispensável para garantir renda mínima à população vulnerável. No entanto, em 2022, verifica-se redução significativa no orçamento em relação a 2020, com R$ 235,9 bilhões autorizados e R$ 222,2 bilhões pagos, refletindo a r</w:t>
      </w:r>
      <w:r>
        <w:rPr>
          <w:sz w:val="24"/>
          <w:szCs w:val="24"/>
        </w:rPr>
        <w:t>etomada das políticas de ajuste fiscal após o período crítico da pandemia. Essa diminuição revela os impactos do Teto de Gastos na limitação dos investimentos sociais, mesmo diante da persistência dos efeitos socioeconômicos adversos da pandemia.</w:t>
      </w:r>
    </w:p>
    <w:p w:rsidR="001878E4" w:rsidRDefault="00DA345B">
      <w:pPr>
        <w:spacing w:before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Tabela 03</w:t>
      </w:r>
      <w:r>
        <w:rPr>
          <w:b/>
          <w:sz w:val="24"/>
          <w:szCs w:val="24"/>
        </w:rPr>
        <w:t xml:space="preserve"> –</w:t>
      </w:r>
      <w:r>
        <w:rPr>
          <w:sz w:val="24"/>
          <w:szCs w:val="24"/>
        </w:rPr>
        <w:t xml:space="preserve"> Função Previdência Social - autorizado e pago, 2015 a 2022 – IPCA, valores em milhões de reais – R$)</w:t>
      </w:r>
    </w:p>
    <w:p w:rsidR="001878E4" w:rsidRDefault="00DA345B">
      <w:pPr>
        <w:spacing w:before="240" w:after="240"/>
        <w:jc w:val="both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759775" cy="1727200"/>
            <wp:effectExtent l="0" t="0" r="0" b="0"/>
            <wp:docPr id="10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>Fonte:</w:t>
      </w:r>
      <w:r>
        <w:rPr>
          <w:sz w:val="20"/>
          <w:szCs w:val="20"/>
        </w:rPr>
        <w:t xml:space="preserve"> elaboração própria com base nos dados coletados no SIGA Brasil/Painel Especialista. Disponíveis em: https://www12.senado.leg.br/orcamento/sigabrasil. Acesso: 05 jul. 20250</w:t>
      </w:r>
    </w:p>
    <w:p w:rsidR="001878E4" w:rsidRDefault="00DA345B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Analisando a tabela acima, que apresenta os valores autorizados e pagos (em bilhões</w:t>
      </w:r>
      <w:r>
        <w:rPr>
          <w:sz w:val="24"/>
          <w:szCs w:val="24"/>
          <w:highlight w:val="white"/>
        </w:rPr>
        <w:t xml:space="preserve"> de reais, corrigidos pelo IPCA) da função Previdência Social nos anos de 2015, 2016, 2020 e 2022, observa-se que em 2015, antes da aprovação da EC 95, o valor autorizado foi de aproximadamente R$ 971,6 bilhões, enquanto o pago foi de R$ 874,9 bilhões, res</w:t>
      </w:r>
      <w:r>
        <w:rPr>
          <w:sz w:val="24"/>
          <w:szCs w:val="24"/>
          <w:highlight w:val="white"/>
        </w:rPr>
        <w:t>ultando em uma diferença de cerca de R$ 96,6 bilhões que não foram executados.</w:t>
      </w:r>
    </w:p>
    <w:p w:rsidR="001878E4" w:rsidRDefault="00DA345B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Em 2016, ainda antes da EC </w:t>
      </w:r>
      <w:proofErr w:type="gramStart"/>
      <w:r>
        <w:rPr>
          <w:sz w:val="24"/>
          <w:szCs w:val="24"/>
          <w:highlight w:val="white"/>
        </w:rPr>
        <w:t>95</w:t>
      </w:r>
      <w:proofErr w:type="gramEnd"/>
      <w:r>
        <w:rPr>
          <w:sz w:val="24"/>
          <w:szCs w:val="24"/>
          <w:highlight w:val="white"/>
        </w:rPr>
        <w:t xml:space="preserve"> mas em período de transição, o valor autorizado foi de R$ 965,8 bilhões, com pagamento de R$ 904 bilhões, evidenciando novamente uma diferença cons</w:t>
      </w:r>
      <w:r>
        <w:rPr>
          <w:sz w:val="24"/>
          <w:szCs w:val="24"/>
          <w:highlight w:val="white"/>
        </w:rPr>
        <w:t xml:space="preserve">iderável de R$ 61,8 bilhões não pagos. Esse dado revela que, mesmo antes da implementação do Teto de Gastos, havia </w:t>
      </w:r>
      <w:proofErr w:type="spellStart"/>
      <w:r>
        <w:rPr>
          <w:sz w:val="24"/>
          <w:szCs w:val="24"/>
          <w:highlight w:val="white"/>
        </w:rPr>
        <w:t>subexecução</w:t>
      </w:r>
      <w:proofErr w:type="spellEnd"/>
      <w:r>
        <w:rPr>
          <w:sz w:val="24"/>
          <w:szCs w:val="24"/>
          <w:highlight w:val="white"/>
        </w:rPr>
        <w:t xml:space="preserve"> orçamentária no âmbito previdenciário.</w:t>
      </w:r>
    </w:p>
    <w:p w:rsidR="001878E4" w:rsidRDefault="00DA345B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No ano de 2020, já sob vigência da EC 95 e no contexto da pandemia da COVID-19, observa-se</w:t>
      </w:r>
      <w:r>
        <w:rPr>
          <w:sz w:val="24"/>
          <w:szCs w:val="24"/>
          <w:highlight w:val="white"/>
        </w:rPr>
        <w:t xml:space="preserve"> um aumento no orçamento autorizado para R$ 1,05 trilhão, sendo pagos R$ 978,2 bilhões. Quando comparado a 2016, nota-se um aumento de aproximadamente R$ 93 bilhões no valor autorizado e de R$ 74 bilhões no valor pago. Apesar da alta demanda por benefícios</w:t>
      </w:r>
      <w:r>
        <w:rPr>
          <w:sz w:val="24"/>
          <w:szCs w:val="24"/>
          <w:highlight w:val="white"/>
        </w:rPr>
        <w:t xml:space="preserve"> previdenciários, seja por incapacidade temporária, pensões por morte ou </w:t>
      </w:r>
      <w:proofErr w:type="spellStart"/>
      <w:r>
        <w:rPr>
          <w:sz w:val="24"/>
          <w:szCs w:val="24"/>
          <w:highlight w:val="white"/>
        </w:rPr>
        <w:t>judicialização</w:t>
      </w:r>
      <w:proofErr w:type="spellEnd"/>
      <w:r>
        <w:rPr>
          <w:sz w:val="24"/>
          <w:szCs w:val="24"/>
          <w:highlight w:val="white"/>
        </w:rPr>
        <w:t xml:space="preserve">, o crescimento do orçamento foi </w:t>
      </w:r>
      <w:r>
        <w:rPr>
          <w:sz w:val="24"/>
          <w:szCs w:val="24"/>
          <w:highlight w:val="white"/>
        </w:rPr>
        <w:lastRenderedPageBreak/>
        <w:t>proporcionalmente inferior ao aumento das necessidades impostas pela pandemia, refletindo a limitação imposta pelo Teto de Gastos.</w:t>
      </w:r>
    </w:p>
    <w:p w:rsidR="001878E4" w:rsidRDefault="00DA345B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Em 20</w:t>
      </w:r>
      <w:r>
        <w:rPr>
          <w:sz w:val="24"/>
          <w:szCs w:val="24"/>
          <w:highlight w:val="white"/>
        </w:rPr>
        <w:t>22, após dois anos do auge da pandemia, o valor autorizado foi de R$ 1,06 trilhão, e o valor pago foi de R$ 964,6 bilhões. Apesar de representar um pequeno aumento em relação a 2020 (R$ 11 bilhões a mais autorizado e R$ 13,6 bilhões a menos pago), essa dif</w:t>
      </w:r>
      <w:r>
        <w:rPr>
          <w:sz w:val="24"/>
          <w:szCs w:val="24"/>
          <w:highlight w:val="white"/>
        </w:rPr>
        <w:t xml:space="preserve">erença demonstra a continuidade de uma política de austeridade fiscal, mesmo em meio aos desafios econômicos e sociais enfrentados pela população beneficiária da Previdência Social.  </w:t>
      </w:r>
    </w:p>
    <w:p w:rsidR="001878E4" w:rsidRDefault="00DA345B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Como exemplo, podem ser citados os esquemas de corrupção e fraudes bilio</w:t>
      </w:r>
      <w:r>
        <w:rPr>
          <w:sz w:val="24"/>
          <w:szCs w:val="24"/>
          <w:highlight w:val="white"/>
        </w:rPr>
        <w:t>nárias envolvendo o INSS, que vieram à tona nos últimos anos, prejudicando milhares de aposentados e beneficiários que dependem dessa política pública. Tais episódios revelam o descaso governamental diante das demandas sociais, especialmente quando se obse</w:t>
      </w:r>
      <w:r>
        <w:rPr>
          <w:sz w:val="24"/>
          <w:szCs w:val="24"/>
          <w:highlight w:val="white"/>
        </w:rPr>
        <w:t xml:space="preserve">rva que, ao mesmo tempo em que bilhões de reais deixam de ser executados anualmente, milhões de brasileiros aguardam por meses, ou até anos, a liberação de benefícios essenciais à sua subsistência. O contraste entre a </w:t>
      </w:r>
      <w:proofErr w:type="spellStart"/>
      <w:r>
        <w:rPr>
          <w:sz w:val="24"/>
          <w:szCs w:val="24"/>
          <w:highlight w:val="white"/>
        </w:rPr>
        <w:t>subexecução</w:t>
      </w:r>
      <w:proofErr w:type="spellEnd"/>
      <w:r>
        <w:rPr>
          <w:sz w:val="24"/>
          <w:szCs w:val="24"/>
          <w:highlight w:val="white"/>
        </w:rPr>
        <w:t xml:space="preserve"> orçamentária e os desvios </w:t>
      </w:r>
      <w:r>
        <w:rPr>
          <w:sz w:val="24"/>
          <w:szCs w:val="24"/>
          <w:highlight w:val="white"/>
        </w:rPr>
        <w:t>de recursos escancararam falhas estruturais na gestão pública. Isso porque, enquanto medidas de corte e contenção impactam diretamente os segmentos mais vulneráveis da população, práticas ilícitas drenam recursos que deveriam ser destinados à proteção soci</w:t>
      </w:r>
      <w:r>
        <w:rPr>
          <w:sz w:val="24"/>
          <w:szCs w:val="24"/>
          <w:highlight w:val="white"/>
        </w:rPr>
        <w:t>al, agravando as desigualdades e aprofundando a crise de confiança nas instituições estatais.</w:t>
      </w:r>
    </w:p>
    <w:p w:rsidR="001878E4" w:rsidRDefault="001878E4">
      <w:pPr>
        <w:pBdr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between w:val="none" w:sz="0" w:space="0" w:color="FFFFFF"/>
        </w:pBdr>
        <w:ind w:firstLine="720"/>
        <w:jc w:val="both"/>
        <w:rPr>
          <w:sz w:val="24"/>
          <w:szCs w:val="24"/>
          <w:highlight w:val="white"/>
        </w:rPr>
      </w:pPr>
    </w:p>
    <w:p w:rsidR="001878E4" w:rsidRDefault="00DA345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ab/>
        <w:t>CONCLUSÃO</w:t>
      </w:r>
    </w:p>
    <w:p w:rsidR="001878E4" w:rsidRDefault="001878E4">
      <w:pPr>
        <w:jc w:val="both"/>
        <w:rPr>
          <w:b/>
          <w:sz w:val="24"/>
          <w:szCs w:val="24"/>
        </w:rPr>
      </w:pP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análise da trajetória da seguridade social brasileira entre 2014 e 2022 evidencia que o avanço do neoliberalismo e das políticas de ajuste fiscal </w:t>
      </w:r>
      <w:r>
        <w:rPr>
          <w:sz w:val="24"/>
          <w:szCs w:val="24"/>
        </w:rPr>
        <w:t>promoveu um profundo desmonte do sistema de proteção social. A Emenda Constitucional nº 95/2016, ao estabelecer o teto de gastos, materializou uma política de austeridade que comprometeu o financiamento da seguridade, resultando na precarização dos serviço</w:t>
      </w:r>
      <w:r>
        <w:rPr>
          <w:sz w:val="24"/>
          <w:szCs w:val="24"/>
        </w:rPr>
        <w:t>s públicos e no aprofundamento das desigualdades sociais.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1878E4" w:rsidRDefault="00DA345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Com base na teoria social de Marx, conclui-se que o discurso da responsabilidade fiscal atua como justificativa ideológica para o desvio de recursos públicos ao capital financeiro, comprometendo o</w:t>
      </w:r>
      <w:r>
        <w:rPr>
          <w:sz w:val="24"/>
          <w:szCs w:val="24"/>
        </w:rPr>
        <w:t xml:space="preserve">s direitos sociais. A análise orçamentária evidencia cortes e </w:t>
      </w:r>
      <w:proofErr w:type="spellStart"/>
      <w:r>
        <w:rPr>
          <w:sz w:val="24"/>
          <w:szCs w:val="24"/>
        </w:rPr>
        <w:t>subexecução</w:t>
      </w:r>
      <w:proofErr w:type="spellEnd"/>
      <w:r>
        <w:rPr>
          <w:sz w:val="24"/>
          <w:szCs w:val="24"/>
        </w:rPr>
        <w:t xml:space="preserve"> de verbas, mesmo em contextos críticos como a pandemia da COVID-19, aprofundando a lógica neoliberal de mercantilização da vida, fragilizando o papel do Estado. Diante disso, é neces</w:t>
      </w:r>
      <w:r>
        <w:rPr>
          <w:sz w:val="24"/>
          <w:szCs w:val="24"/>
        </w:rPr>
        <w:t>sário retomarmos o debate sobre o fortalecimento da seguridade social, por meio de financiamento justo, reforma tributária progressiva e ampliação do controle social.</w:t>
      </w:r>
    </w:p>
    <w:p w:rsidR="001878E4" w:rsidRDefault="001878E4">
      <w:pPr>
        <w:spacing w:line="360" w:lineRule="auto"/>
        <w:ind w:firstLine="720"/>
        <w:jc w:val="both"/>
        <w:rPr>
          <w:sz w:val="24"/>
          <w:szCs w:val="24"/>
        </w:rPr>
      </w:pPr>
    </w:p>
    <w:p w:rsidR="001878E4" w:rsidRDefault="00DA345B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:rsidR="001878E4" w:rsidRDefault="00DA345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BEHRING, Elaine Rossetti. </w:t>
      </w:r>
      <w:r>
        <w:rPr>
          <w:i/>
          <w:sz w:val="24"/>
          <w:szCs w:val="24"/>
        </w:rPr>
        <w:t xml:space="preserve">Brasil em </w:t>
      </w:r>
      <w:proofErr w:type="spellStart"/>
      <w:r>
        <w:rPr>
          <w:i/>
          <w:sz w:val="24"/>
          <w:szCs w:val="24"/>
        </w:rPr>
        <w:t>contra-reforma</w:t>
      </w:r>
      <w:proofErr w:type="spellEnd"/>
      <w:r>
        <w:rPr>
          <w:i/>
          <w:sz w:val="24"/>
          <w:szCs w:val="24"/>
        </w:rPr>
        <w:t>: desestruturação do Estado e perda de direitos</w:t>
      </w:r>
      <w:r>
        <w:rPr>
          <w:sz w:val="24"/>
          <w:szCs w:val="24"/>
        </w:rPr>
        <w:t>. São Paulo: Cortez, 2003.</w:t>
      </w:r>
    </w:p>
    <w:p w:rsidR="001878E4" w:rsidRDefault="00DA345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BEHRING, Elaine Rossetti; BOSCHETTI, Ivanete. </w:t>
      </w:r>
      <w:r>
        <w:rPr>
          <w:i/>
          <w:sz w:val="24"/>
          <w:szCs w:val="24"/>
        </w:rPr>
        <w:t>Política social: fundamentos e história</w:t>
      </w:r>
      <w:r>
        <w:rPr>
          <w:sz w:val="24"/>
          <w:szCs w:val="24"/>
        </w:rPr>
        <w:t>. 5. ed. São Paulo: Cortez, 2008.</w:t>
      </w:r>
    </w:p>
    <w:p w:rsidR="001878E4" w:rsidRDefault="00DA345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BRASIL. Constituição da República Feder</w:t>
      </w:r>
      <w:r>
        <w:rPr>
          <w:sz w:val="24"/>
          <w:szCs w:val="24"/>
        </w:rPr>
        <w:t>ativa do Brasil de 1988. Disponível em: https://www.planalto.gov.br/ccivil_03/constituicao/constituicao.htm. Acesso em: 05 jul. 2025.</w:t>
      </w:r>
    </w:p>
    <w:p w:rsidR="001878E4" w:rsidRDefault="00DA345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INSTITUTO DE PESQUISA ECONÔMICA APLICADA (IPEA). </w:t>
      </w:r>
      <w:r>
        <w:rPr>
          <w:i/>
          <w:sz w:val="24"/>
          <w:szCs w:val="24"/>
        </w:rPr>
        <w:t>Boletim de políticas sociais: acompanhamento e análise</w:t>
      </w:r>
      <w:r>
        <w:rPr>
          <w:sz w:val="24"/>
          <w:szCs w:val="24"/>
        </w:rPr>
        <w:t>. Brasília: IPEA, 2022.</w:t>
      </w:r>
    </w:p>
    <w:p w:rsidR="001878E4" w:rsidRDefault="00DA345B">
      <w:pPr>
        <w:spacing w:before="240" w:after="24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SENADO FEDERAL. SIGA Brasil - Painel Especialista. Disponível em:</w:t>
      </w:r>
      <w:hyperlink r:id="rId10">
        <w:r>
          <w:rPr>
            <w:sz w:val="24"/>
            <w:szCs w:val="24"/>
          </w:rPr>
          <w:t xml:space="preserve"> </w:t>
        </w:r>
      </w:hyperlink>
      <w:hyperlink r:id="rId11">
        <w:r>
          <w:rPr>
            <w:color w:val="1155CC"/>
            <w:sz w:val="24"/>
            <w:szCs w:val="24"/>
            <w:u w:val="single"/>
          </w:rPr>
          <w:t>https://www12.senado.leg.br/or</w:t>
        </w:r>
        <w:r>
          <w:rPr>
            <w:color w:val="1155CC"/>
            <w:sz w:val="24"/>
            <w:szCs w:val="24"/>
            <w:u w:val="single"/>
          </w:rPr>
          <w:t>camento/sigabrasil</w:t>
        </w:r>
      </w:hyperlink>
      <w:r>
        <w:rPr>
          <w:sz w:val="24"/>
          <w:szCs w:val="24"/>
        </w:rPr>
        <w:t>. Acesso em: 05 jul. 2025</w:t>
      </w:r>
    </w:p>
    <w:p w:rsidR="001878E4" w:rsidRDefault="001878E4">
      <w:pPr>
        <w:spacing w:after="200"/>
        <w:jc w:val="both"/>
        <w:rPr>
          <w:sz w:val="24"/>
          <w:szCs w:val="24"/>
        </w:rPr>
      </w:pPr>
    </w:p>
    <w:sectPr w:rsidR="001878E4">
      <w:headerReference w:type="default" r:id="rId12"/>
      <w:pgSz w:w="11909" w:h="16834"/>
      <w:pgMar w:top="1701" w:right="1134" w:bottom="1134" w:left="1701" w:header="3401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45B" w:rsidRDefault="00DA345B">
      <w:pPr>
        <w:spacing w:line="240" w:lineRule="auto"/>
      </w:pPr>
      <w:r>
        <w:separator/>
      </w:r>
    </w:p>
  </w:endnote>
  <w:endnote w:type="continuationSeparator" w:id="0">
    <w:p w:rsidR="00DA345B" w:rsidRDefault="00DA34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45B" w:rsidRDefault="00DA345B">
      <w:pPr>
        <w:spacing w:line="240" w:lineRule="auto"/>
      </w:pPr>
      <w:r>
        <w:separator/>
      </w:r>
    </w:p>
  </w:footnote>
  <w:footnote w:type="continuationSeparator" w:id="0">
    <w:p w:rsidR="00DA345B" w:rsidRDefault="00DA345B">
      <w:pPr>
        <w:spacing w:line="240" w:lineRule="auto"/>
      </w:pPr>
      <w:r>
        <w:continuationSeparator/>
      </w:r>
    </w:p>
  </w:footnote>
  <w:footnote w:id="1">
    <w:p w:rsidR="001878E4" w:rsidRDefault="00DA345B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Universidade Federal da Paraíba, Graduanda em Serviço Social, </w:t>
      </w:r>
      <w:hyperlink r:id="rId1">
        <w:r>
          <w:rPr>
            <w:color w:val="1155CC"/>
            <w:sz w:val="20"/>
            <w:szCs w:val="20"/>
            <w:u w:val="single"/>
          </w:rPr>
          <w:t>rita.souza@academico</w:t>
        </w:r>
        <w:r>
          <w:rPr>
            <w:color w:val="1155CC"/>
            <w:sz w:val="20"/>
            <w:szCs w:val="20"/>
            <w:u w:val="single"/>
          </w:rPr>
          <w:t>.ufpb.br</w:t>
        </w:r>
      </w:hyperlink>
    </w:p>
    <w:p w:rsidR="001878E4" w:rsidRDefault="00DA345B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Universidade Federal da Paraíba, Graduanda em Serviço Social, </w:t>
      </w:r>
      <w:hyperlink r:id="rId2">
        <w:r>
          <w:rPr>
            <w:color w:val="1155CC"/>
            <w:sz w:val="20"/>
            <w:szCs w:val="20"/>
            <w:u w:val="single"/>
          </w:rPr>
          <w:t>vccba@academico.ufpb.br</w:t>
        </w:r>
      </w:hyperlink>
    </w:p>
    <w:p w:rsidR="001878E4" w:rsidRDefault="001878E4">
      <w:pPr>
        <w:spacing w:line="240" w:lineRule="auto"/>
        <w:rPr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8E4" w:rsidRDefault="00DA345B"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0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E4"/>
    <w:rsid w:val="001878E4"/>
    <w:rsid w:val="00C4767A"/>
    <w:rsid w:val="00DA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C19B51"/>
  <w15:docId w15:val="{E0CE3ABD-82DF-4FE0-A2EC-4F5FAA27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uppressAutoHyphens/>
      <w:spacing w:before="400" w:after="120"/>
      <w:ind w:leftChars="-1" w:left="-1" w:hangingChars="1" w:hanging="1"/>
      <w:textDirection w:val="btLr"/>
      <w:textAlignment w:val="top"/>
      <w:outlineLvl w:val="0"/>
    </w:pPr>
    <w:rPr>
      <w:position w:val="-1"/>
      <w:sz w:val="40"/>
      <w:szCs w:val="40"/>
    </w:rPr>
  </w:style>
  <w:style w:type="paragraph" w:styleId="Ttulo2">
    <w:name w:val="heading 2"/>
    <w:basedOn w:val="Normal"/>
    <w:next w:val="Normal"/>
    <w:qFormat/>
    <w:pPr>
      <w:keepNext/>
      <w:keepLines/>
      <w:suppressAutoHyphens/>
      <w:spacing w:before="360" w:after="120"/>
      <w:ind w:leftChars="-1" w:left="-1" w:hangingChars="1" w:hanging="1"/>
      <w:textDirection w:val="btLr"/>
      <w:textAlignment w:val="top"/>
      <w:outlineLvl w:val="1"/>
    </w:pPr>
    <w:rPr>
      <w:position w:val="-1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uppressAutoHyphens/>
      <w:spacing w:before="320" w:after="80"/>
      <w:ind w:leftChars="-1" w:left="-1" w:hangingChars="1" w:hanging="1"/>
      <w:textDirection w:val="btLr"/>
      <w:textAlignment w:val="top"/>
      <w:outlineLvl w:val="2"/>
    </w:pPr>
    <w:rPr>
      <w:color w:val="434343"/>
      <w:position w:val="-1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uppressAutoHyphens/>
      <w:spacing w:before="280" w:after="80"/>
      <w:ind w:leftChars="-1" w:left="-1" w:hangingChars="1" w:hanging="1"/>
      <w:textDirection w:val="btLr"/>
      <w:textAlignment w:val="top"/>
      <w:outlineLvl w:val="3"/>
    </w:pPr>
    <w:rPr>
      <w:color w:val="666666"/>
      <w:position w:val="-1"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4"/>
    </w:pPr>
    <w:rPr>
      <w:color w:val="666666"/>
      <w:position w:val="-1"/>
    </w:rPr>
  </w:style>
  <w:style w:type="paragraph" w:styleId="Ttulo6">
    <w:name w:val="heading 6"/>
    <w:basedOn w:val="Normal"/>
    <w:next w:val="Normal"/>
    <w:qFormat/>
    <w:pPr>
      <w:keepNext/>
      <w:keepLines/>
      <w:suppressAutoHyphens/>
      <w:spacing w:before="240" w:after="80"/>
      <w:ind w:leftChars="-1" w:left="-1" w:hangingChars="1" w:hanging="1"/>
      <w:textDirection w:val="btLr"/>
      <w:textAlignment w:val="top"/>
      <w:outlineLvl w:val="5"/>
    </w:pPr>
    <w:rPr>
      <w:i/>
      <w:color w:val="666666"/>
      <w:position w:val="-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uppressAutoHyphens/>
      <w:spacing w:after="60"/>
      <w:ind w:leftChars="-1" w:left="-1" w:hangingChars="1" w:hanging="1"/>
      <w:textDirection w:val="btLr"/>
      <w:textAlignment w:val="top"/>
      <w:outlineLvl w:val="0"/>
    </w:pPr>
    <w:rPr>
      <w:position w:val="-1"/>
      <w:sz w:val="52"/>
      <w:szCs w:val="52"/>
    </w:rPr>
  </w:style>
  <w:style w:type="table" w:customStyle="1" w:styleId="TableNormal0">
    <w:name w:val="Table Normal"/>
    <w:next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12.senado.leg.br/orcamento/sigabrasi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www12.senado.leg.br/orcamento/sigabrasi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vccba@academico.ufpb.br" TargetMode="External"/><Relationship Id="rId1" Type="http://schemas.openxmlformats.org/officeDocument/2006/relationships/hyperlink" Target="mailto:rita.souza@academico.ufp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5T+b6pHoIUlctzCjLfG/VDrcg==">CgMxLjA4AHIhMWlGby1VTExmVUpxeHJpOHBnTWRRN3BocTAtZy1ocmFW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3632</Words>
  <Characters>19618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Rita</cp:lastModifiedBy>
  <cp:revision>2</cp:revision>
  <dcterms:created xsi:type="dcterms:W3CDTF">2025-02-17T16:43:00Z</dcterms:created>
  <dcterms:modified xsi:type="dcterms:W3CDTF">2025-07-06T22:21:00Z</dcterms:modified>
</cp:coreProperties>
</file>