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59EB7" w14:textId="79078178" w:rsidR="007B75BC" w:rsidRDefault="00000000">
      <w:pPr>
        <w:spacing w:line="360" w:lineRule="auto"/>
        <w:jc w:val="center"/>
        <w:rPr>
          <w:sz w:val="24"/>
          <w:szCs w:val="24"/>
        </w:rPr>
      </w:pPr>
      <w:r>
        <w:rPr>
          <w:b/>
          <w:sz w:val="24"/>
          <w:szCs w:val="24"/>
        </w:rPr>
        <w:t xml:space="preserve">FACES E INCOMPLETUDES DO “PLANO DE DESENVOLVIMENTO SUSTENTÁVEL” DE TERESINA: </w:t>
      </w:r>
      <w:r w:rsidR="00CE216A">
        <w:rPr>
          <w:sz w:val="24"/>
          <w:szCs w:val="24"/>
        </w:rPr>
        <w:t>uma análise</w:t>
      </w:r>
      <w:r>
        <w:rPr>
          <w:sz w:val="24"/>
          <w:szCs w:val="24"/>
        </w:rPr>
        <w:t xml:space="preserve"> a partir do Projeto de Assentamento Vale da Esperança</w:t>
      </w:r>
    </w:p>
    <w:p w14:paraId="4796C26C" w14:textId="77777777" w:rsidR="007B75BC" w:rsidRDefault="00000000">
      <w:pPr>
        <w:spacing w:line="240" w:lineRule="auto"/>
        <w:jc w:val="right"/>
        <w:rPr>
          <w:sz w:val="20"/>
          <w:szCs w:val="20"/>
        </w:rPr>
      </w:pPr>
      <w:r>
        <w:rPr>
          <w:sz w:val="20"/>
          <w:szCs w:val="20"/>
        </w:rPr>
        <w:t>Karla Karine Fernandes Lima</w:t>
      </w:r>
      <w:r>
        <w:rPr>
          <w:sz w:val="20"/>
          <w:szCs w:val="20"/>
          <w:vertAlign w:val="superscript"/>
        </w:rPr>
        <w:footnoteReference w:id="1"/>
      </w:r>
    </w:p>
    <w:p w14:paraId="7DAD9175" w14:textId="77777777" w:rsidR="007B75BC" w:rsidRDefault="00000000">
      <w:pPr>
        <w:spacing w:line="240" w:lineRule="auto"/>
        <w:jc w:val="right"/>
        <w:rPr>
          <w:sz w:val="20"/>
          <w:szCs w:val="20"/>
        </w:rPr>
      </w:pPr>
      <w:r>
        <w:rPr>
          <w:sz w:val="20"/>
          <w:szCs w:val="20"/>
        </w:rPr>
        <w:t>Rebeca Barros Passos</w:t>
      </w:r>
      <w:r>
        <w:rPr>
          <w:sz w:val="20"/>
          <w:szCs w:val="20"/>
          <w:vertAlign w:val="superscript"/>
        </w:rPr>
        <w:footnoteReference w:id="2"/>
      </w:r>
    </w:p>
    <w:p w14:paraId="06B228BF" w14:textId="77777777" w:rsidR="007B75BC" w:rsidRDefault="00000000">
      <w:pPr>
        <w:spacing w:line="240" w:lineRule="auto"/>
        <w:jc w:val="right"/>
        <w:rPr>
          <w:sz w:val="20"/>
          <w:szCs w:val="20"/>
        </w:rPr>
      </w:pPr>
      <w:r>
        <w:rPr>
          <w:sz w:val="20"/>
          <w:szCs w:val="20"/>
        </w:rPr>
        <w:t>Cristiana Costa da Rocha</w:t>
      </w:r>
      <w:r>
        <w:rPr>
          <w:sz w:val="20"/>
          <w:szCs w:val="20"/>
          <w:vertAlign w:val="superscript"/>
        </w:rPr>
        <w:footnoteReference w:id="3"/>
      </w:r>
    </w:p>
    <w:p w14:paraId="7BD1E8F2" w14:textId="77777777" w:rsidR="007B75BC" w:rsidRDefault="00000000">
      <w:pPr>
        <w:spacing w:line="240" w:lineRule="auto"/>
        <w:jc w:val="right"/>
        <w:rPr>
          <w:sz w:val="20"/>
          <w:szCs w:val="20"/>
        </w:rPr>
      </w:pPr>
      <w:r>
        <w:rPr>
          <w:sz w:val="20"/>
          <w:szCs w:val="20"/>
          <w:highlight w:val="white"/>
        </w:rPr>
        <w:t>Igor Thiago Silva de Sousa</w:t>
      </w:r>
      <w:r>
        <w:rPr>
          <w:sz w:val="20"/>
          <w:szCs w:val="20"/>
          <w:vertAlign w:val="superscript"/>
        </w:rPr>
        <w:footnoteReference w:id="4"/>
      </w:r>
    </w:p>
    <w:p w14:paraId="3EE289A5" w14:textId="77777777" w:rsidR="007B75BC" w:rsidRDefault="00000000">
      <w:pPr>
        <w:spacing w:line="240" w:lineRule="auto"/>
        <w:ind w:left="2835"/>
        <w:jc w:val="both"/>
        <w:rPr>
          <w:sz w:val="20"/>
          <w:szCs w:val="20"/>
        </w:rPr>
      </w:pPr>
      <w:r>
        <w:rPr>
          <w:b/>
          <w:sz w:val="20"/>
          <w:szCs w:val="20"/>
        </w:rPr>
        <w:t>Resumo</w:t>
      </w:r>
    </w:p>
    <w:p w14:paraId="13C750FE" w14:textId="77777777" w:rsidR="007B75BC" w:rsidRDefault="00000000">
      <w:pPr>
        <w:spacing w:line="240" w:lineRule="auto"/>
        <w:ind w:left="2835"/>
        <w:jc w:val="both"/>
        <w:rPr>
          <w:sz w:val="20"/>
          <w:szCs w:val="20"/>
        </w:rPr>
      </w:pPr>
      <w:r>
        <w:rPr>
          <w:sz w:val="20"/>
          <w:szCs w:val="20"/>
        </w:rPr>
        <w:t xml:space="preserve">O presente trabalho problematiza o Plano Diretor de Teresina (2006 e 2019), enquanto instrumentos de desenvolvimento e ordenamento territorial em particular para a área rural, a partir da experiência do Projeto de Assentamento Vale da Esperança, localizado na zona Sudeste de Teresina-PI. Nossa análise pretende apresentar as contradições existentes dentro do plano denominado como sustentável, evidenciando suas negligências em relação à população </w:t>
      </w:r>
      <w:proofErr w:type="spellStart"/>
      <w:r>
        <w:rPr>
          <w:sz w:val="20"/>
          <w:szCs w:val="20"/>
        </w:rPr>
        <w:t>racializada</w:t>
      </w:r>
      <w:proofErr w:type="spellEnd"/>
      <w:r>
        <w:rPr>
          <w:sz w:val="20"/>
          <w:szCs w:val="20"/>
        </w:rPr>
        <w:t xml:space="preserve">, o que demonstra a existência de uma seletividade racial desempenhada pelo Estado que impacta socialmente e ambientalmente a vida das famílias. Metodologicamente a pesquisa se deu a partir da aplicação de 66 questionários respondidos por famílias assentadas no PA Vale da Esperança, aliado a isso a análise bibliográfica e documental. Como resultado apresentamos as estratégias de reprodução social das famílias do assentamento frente às incompletudes e contrastes do Plano de Desenvolvimento Sustentável. </w:t>
      </w:r>
    </w:p>
    <w:p w14:paraId="607ACFC7" w14:textId="60FE5517" w:rsidR="007B75BC" w:rsidRDefault="00000000">
      <w:pPr>
        <w:spacing w:line="240" w:lineRule="auto"/>
        <w:ind w:left="2835"/>
        <w:jc w:val="both"/>
        <w:rPr>
          <w:sz w:val="20"/>
          <w:szCs w:val="20"/>
        </w:rPr>
      </w:pPr>
      <w:r>
        <w:rPr>
          <w:b/>
          <w:sz w:val="20"/>
          <w:szCs w:val="20"/>
        </w:rPr>
        <w:t>Palavras-chave</w:t>
      </w:r>
      <w:r>
        <w:rPr>
          <w:sz w:val="20"/>
          <w:szCs w:val="20"/>
        </w:rPr>
        <w:t xml:space="preserve">: Seletividade racial; </w:t>
      </w:r>
      <w:r w:rsidR="006A540E">
        <w:rPr>
          <w:sz w:val="20"/>
          <w:szCs w:val="20"/>
        </w:rPr>
        <w:t>D</w:t>
      </w:r>
      <w:r>
        <w:rPr>
          <w:sz w:val="20"/>
          <w:szCs w:val="20"/>
        </w:rPr>
        <w:t xml:space="preserve">esenvolvimento </w:t>
      </w:r>
      <w:r w:rsidR="006A540E">
        <w:rPr>
          <w:sz w:val="20"/>
          <w:szCs w:val="20"/>
        </w:rPr>
        <w:t>S</w:t>
      </w:r>
      <w:r>
        <w:rPr>
          <w:sz w:val="20"/>
          <w:szCs w:val="20"/>
        </w:rPr>
        <w:t xml:space="preserve">ustentável; </w:t>
      </w:r>
      <w:r w:rsidR="006A540E">
        <w:rPr>
          <w:sz w:val="20"/>
          <w:szCs w:val="20"/>
        </w:rPr>
        <w:t>P</w:t>
      </w:r>
      <w:r>
        <w:rPr>
          <w:sz w:val="20"/>
          <w:szCs w:val="20"/>
        </w:rPr>
        <w:t xml:space="preserve">olíticas </w:t>
      </w:r>
      <w:r w:rsidR="006A540E">
        <w:rPr>
          <w:sz w:val="20"/>
          <w:szCs w:val="20"/>
        </w:rPr>
        <w:t>P</w:t>
      </w:r>
      <w:r>
        <w:rPr>
          <w:sz w:val="20"/>
          <w:szCs w:val="20"/>
        </w:rPr>
        <w:t xml:space="preserve">úblicas; </w:t>
      </w:r>
      <w:r w:rsidR="006A540E">
        <w:rPr>
          <w:sz w:val="20"/>
          <w:szCs w:val="20"/>
        </w:rPr>
        <w:t>A</w:t>
      </w:r>
      <w:r>
        <w:rPr>
          <w:sz w:val="20"/>
          <w:szCs w:val="20"/>
        </w:rPr>
        <w:t xml:space="preserve">ssentamentos </w:t>
      </w:r>
      <w:r w:rsidR="006A540E">
        <w:rPr>
          <w:sz w:val="20"/>
          <w:szCs w:val="20"/>
        </w:rPr>
        <w:t>R</w:t>
      </w:r>
      <w:r>
        <w:rPr>
          <w:sz w:val="20"/>
          <w:szCs w:val="20"/>
        </w:rPr>
        <w:t>urais</w:t>
      </w:r>
      <w:r w:rsidR="006A540E">
        <w:rPr>
          <w:sz w:val="20"/>
          <w:szCs w:val="20"/>
        </w:rPr>
        <w:t>.</w:t>
      </w:r>
      <w:r>
        <w:rPr>
          <w:sz w:val="20"/>
          <w:szCs w:val="20"/>
        </w:rPr>
        <w:t xml:space="preserve"> </w:t>
      </w:r>
    </w:p>
    <w:p w14:paraId="6281E546" w14:textId="77777777" w:rsidR="007B75BC" w:rsidRDefault="007B75BC">
      <w:pPr>
        <w:spacing w:line="240" w:lineRule="auto"/>
        <w:jc w:val="both"/>
        <w:rPr>
          <w:sz w:val="20"/>
          <w:szCs w:val="20"/>
        </w:rPr>
      </w:pPr>
    </w:p>
    <w:p w14:paraId="2C45A26C" w14:textId="77777777" w:rsidR="007B75BC" w:rsidRDefault="00000000">
      <w:pPr>
        <w:spacing w:line="240" w:lineRule="auto"/>
        <w:ind w:left="2835"/>
        <w:jc w:val="both"/>
        <w:rPr>
          <w:b/>
          <w:sz w:val="20"/>
          <w:szCs w:val="20"/>
        </w:rPr>
      </w:pPr>
      <w:r>
        <w:rPr>
          <w:b/>
          <w:sz w:val="20"/>
          <w:szCs w:val="20"/>
        </w:rPr>
        <w:t>Abstract</w:t>
      </w:r>
    </w:p>
    <w:p w14:paraId="0674C39B" w14:textId="77777777" w:rsidR="007B75BC" w:rsidRDefault="00000000">
      <w:pPr>
        <w:ind w:left="2834"/>
        <w:jc w:val="both"/>
        <w:rPr>
          <w:sz w:val="20"/>
          <w:szCs w:val="20"/>
        </w:rPr>
      </w:pPr>
      <w:proofErr w:type="spellStart"/>
      <w:r>
        <w:rPr>
          <w:sz w:val="20"/>
          <w:szCs w:val="20"/>
        </w:rPr>
        <w:t>This</w:t>
      </w:r>
      <w:proofErr w:type="spellEnd"/>
      <w:r>
        <w:rPr>
          <w:sz w:val="20"/>
          <w:szCs w:val="20"/>
        </w:rPr>
        <w:t xml:space="preserve"> </w:t>
      </w:r>
      <w:proofErr w:type="spellStart"/>
      <w:r>
        <w:rPr>
          <w:sz w:val="20"/>
          <w:szCs w:val="20"/>
        </w:rPr>
        <w:t>paper</w:t>
      </w:r>
      <w:proofErr w:type="spellEnd"/>
      <w:r>
        <w:rPr>
          <w:sz w:val="20"/>
          <w:szCs w:val="20"/>
        </w:rPr>
        <w:t xml:space="preserve"> problematizes </w:t>
      </w:r>
      <w:proofErr w:type="spellStart"/>
      <w:r>
        <w:rPr>
          <w:sz w:val="20"/>
          <w:szCs w:val="20"/>
        </w:rPr>
        <w:t>the</w:t>
      </w:r>
      <w:proofErr w:type="spellEnd"/>
      <w:r>
        <w:rPr>
          <w:sz w:val="20"/>
          <w:szCs w:val="20"/>
        </w:rPr>
        <w:t xml:space="preserve"> Teresina </w:t>
      </w:r>
      <w:proofErr w:type="spellStart"/>
      <w:r>
        <w:rPr>
          <w:sz w:val="20"/>
          <w:szCs w:val="20"/>
        </w:rPr>
        <w:t>Director</w:t>
      </w:r>
      <w:proofErr w:type="spellEnd"/>
      <w:r>
        <w:rPr>
          <w:sz w:val="20"/>
          <w:szCs w:val="20"/>
        </w:rPr>
        <w:t xml:space="preserve"> Planning </w:t>
      </w:r>
      <w:proofErr w:type="spellStart"/>
      <w:r>
        <w:rPr>
          <w:sz w:val="20"/>
          <w:szCs w:val="20"/>
        </w:rPr>
        <w:t>documents</w:t>
      </w:r>
      <w:proofErr w:type="spellEnd"/>
      <w:r>
        <w:rPr>
          <w:sz w:val="20"/>
          <w:szCs w:val="20"/>
        </w:rPr>
        <w:t xml:space="preserve"> (2006 </w:t>
      </w:r>
      <w:proofErr w:type="spellStart"/>
      <w:r>
        <w:rPr>
          <w:sz w:val="20"/>
          <w:szCs w:val="20"/>
        </w:rPr>
        <w:t>and</w:t>
      </w:r>
      <w:proofErr w:type="spellEnd"/>
      <w:r>
        <w:rPr>
          <w:sz w:val="20"/>
          <w:szCs w:val="20"/>
        </w:rPr>
        <w:t xml:space="preserve"> 2019) as </w:t>
      </w:r>
      <w:proofErr w:type="spellStart"/>
      <w:r>
        <w:rPr>
          <w:sz w:val="20"/>
          <w:szCs w:val="20"/>
        </w:rPr>
        <w:t>instruments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development</w:t>
      </w:r>
      <w:proofErr w:type="spellEnd"/>
      <w:r>
        <w:rPr>
          <w:sz w:val="20"/>
          <w:szCs w:val="20"/>
        </w:rPr>
        <w:t xml:space="preserve"> </w:t>
      </w:r>
      <w:proofErr w:type="spellStart"/>
      <w:r>
        <w:rPr>
          <w:sz w:val="20"/>
          <w:szCs w:val="20"/>
        </w:rPr>
        <w:t>and</w:t>
      </w:r>
      <w:proofErr w:type="spellEnd"/>
      <w:r>
        <w:rPr>
          <w:sz w:val="20"/>
          <w:szCs w:val="20"/>
        </w:rPr>
        <w:t xml:space="preserve"> territorial </w:t>
      </w:r>
      <w:proofErr w:type="spellStart"/>
      <w:r>
        <w:rPr>
          <w:sz w:val="20"/>
          <w:szCs w:val="20"/>
        </w:rPr>
        <w:t>planning</w:t>
      </w:r>
      <w:proofErr w:type="spellEnd"/>
      <w:r>
        <w:rPr>
          <w:sz w:val="20"/>
          <w:szCs w:val="20"/>
        </w:rPr>
        <w:t xml:space="preserve">, </w:t>
      </w:r>
      <w:proofErr w:type="spellStart"/>
      <w:r>
        <w:rPr>
          <w:sz w:val="20"/>
          <w:szCs w:val="20"/>
        </w:rPr>
        <w:t>particularly</w:t>
      </w:r>
      <w:proofErr w:type="spellEnd"/>
      <w:r>
        <w:rPr>
          <w:sz w:val="20"/>
          <w:szCs w:val="20"/>
        </w:rPr>
        <w:t xml:space="preserve"> for rural </w:t>
      </w:r>
      <w:proofErr w:type="spellStart"/>
      <w:r>
        <w:rPr>
          <w:sz w:val="20"/>
          <w:szCs w:val="20"/>
        </w:rPr>
        <w:t>areas</w:t>
      </w:r>
      <w:proofErr w:type="spellEnd"/>
      <w:r>
        <w:rPr>
          <w:sz w:val="20"/>
          <w:szCs w:val="20"/>
        </w:rPr>
        <w:t xml:space="preserve">, </w:t>
      </w:r>
      <w:proofErr w:type="spellStart"/>
      <w:r>
        <w:rPr>
          <w:sz w:val="20"/>
          <w:szCs w:val="20"/>
        </w:rPr>
        <w:t>based</w:t>
      </w:r>
      <w:proofErr w:type="spellEnd"/>
      <w:r>
        <w:rPr>
          <w:sz w:val="20"/>
          <w:szCs w:val="20"/>
        </w:rPr>
        <w:t xml:space="preserve"> </w:t>
      </w:r>
      <w:proofErr w:type="spellStart"/>
      <w:r>
        <w:rPr>
          <w:sz w:val="20"/>
          <w:szCs w:val="20"/>
        </w:rPr>
        <w:t>on</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experience</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Vale da Esperança </w:t>
      </w:r>
      <w:proofErr w:type="spellStart"/>
      <w:r>
        <w:rPr>
          <w:sz w:val="20"/>
          <w:szCs w:val="20"/>
        </w:rPr>
        <w:t>Settlement</w:t>
      </w:r>
      <w:proofErr w:type="spellEnd"/>
      <w:r>
        <w:rPr>
          <w:sz w:val="20"/>
          <w:szCs w:val="20"/>
        </w:rPr>
        <w:t xml:space="preserve"> Project, </w:t>
      </w:r>
      <w:proofErr w:type="spellStart"/>
      <w:r>
        <w:rPr>
          <w:sz w:val="20"/>
          <w:szCs w:val="20"/>
        </w:rPr>
        <w:t>located</w:t>
      </w:r>
      <w:proofErr w:type="spellEnd"/>
      <w:r>
        <w:rPr>
          <w:sz w:val="20"/>
          <w:szCs w:val="20"/>
        </w:rPr>
        <w:t xml:space="preserve"> in </w:t>
      </w:r>
      <w:proofErr w:type="spellStart"/>
      <w:r>
        <w:rPr>
          <w:sz w:val="20"/>
          <w:szCs w:val="20"/>
        </w:rPr>
        <w:t>the</w:t>
      </w:r>
      <w:proofErr w:type="spellEnd"/>
      <w:r>
        <w:rPr>
          <w:sz w:val="20"/>
          <w:szCs w:val="20"/>
        </w:rPr>
        <w:t xml:space="preserve"> </w:t>
      </w:r>
      <w:proofErr w:type="spellStart"/>
      <w:r>
        <w:rPr>
          <w:sz w:val="20"/>
          <w:szCs w:val="20"/>
        </w:rPr>
        <w:t>Southeast</w:t>
      </w:r>
      <w:proofErr w:type="spellEnd"/>
      <w:r>
        <w:rPr>
          <w:sz w:val="20"/>
          <w:szCs w:val="20"/>
        </w:rPr>
        <w:t xml:space="preserve"> </w:t>
      </w:r>
      <w:proofErr w:type="spellStart"/>
      <w:r>
        <w:rPr>
          <w:sz w:val="20"/>
          <w:szCs w:val="20"/>
        </w:rPr>
        <w:t>of</w:t>
      </w:r>
      <w:proofErr w:type="spellEnd"/>
      <w:r>
        <w:rPr>
          <w:sz w:val="20"/>
          <w:szCs w:val="20"/>
        </w:rPr>
        <w:t xml:space="preserve"> Teresina, PI. </w:t>
      </w:r>
      <w:proofErr w:type="spellStart"/>
      <w:r>
        <w:rPr>
          <w:sz w:val="20"/>
          <w:szCs w:val="20"/>
        </w:rPr>
        <w:t>Our</w:t>
      </w:r>
      <w:proofErr w:type="spellEnd"/>
      <w:r>
        <w:rPr>
          <w:sz w:val="20"/>
          <w:szCs w:val="20"/>
        </w:rPr>
        <w:t xml:space="preserve"> </w:t>
      </w:r>
      <w:proofErr w:type="spellStart"/>
      <w:r>
        <w:rPr>
          <w:sz w:val="20"/>
          <w:szCs w:val="20"/>
        </w:rPr>
        <w:t>analysis</w:t>
      </w:r>
      <w:proofErr w:type="spellEnd"/>
      <w:r>
        <w:rPr>
          <w:sz w:val="20"/>
          <w:szCs w:val="20"/>
        </w:rPr>
        <w:t xml:space="preserve"> </w:t>
      </w:r>
      <w:proofErr w:type="spellStart"/>
      <w:r>
        <w:rPr>
          <w:sz w:val="20"/>
          <w:szCs w:val="20"/>
        </w:rPr>
        <w:t>aims</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present</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contradictions</w:t>
      </w:r>
      <w:proofErr w:type="spellEnd"/>
      <w:r>
        <w:rPr>
          <w:sz w:val="20"/>
          <w:szCs w:val="20"/>
        </w:rPr>
        <w:t xml:space="preserve"> </w:t>
      </w:r>
      <w:proofErr w:type="spellStart"/>
      <w:r>
        <w:rPr>
          <w:sz w:val="20"/>
          <w:szCs w:val="20"/>
        </w:rPr>
        <w:t>within</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plan</w:t>
      </w:r>
      <w:proofErr w:type="spellEnd"/>
      <w:r>
        <w:rPr>
          <w:sz w:val="20"/>
          <w:szCs w:val="20"/>
        </w:rPr>
        <w:t xml:space="preserve"> </w:t>
      </w:r>
      <w:proofErr w:type="spellStart"/>
      <w:r>
        <w:rPr>
          <w:sz w:val="20"/>
          <w:szCs w:val="20"/>
        </w:rPr>
        <w:t>called</w:t>
      </w:r>
      <w:proofErr w:type="spellEnd"/>
      <w:r>
        <w:rPr>
          <w:sz w:val="20"/>
          <w:szCs w:val="20"/>
        </w:rPr>
        <w:t xml:space="preserve"> </w:t>
      </w:r>
      <w:proofErr w:type="spellStart"/>
      <w:r>
        <w:rPr>
          <w:sz w:val="20"/>
          <w:szCs w:val="20"/>
        </w:rPr>
        <w:t>sustainable</w:t>
      </w:r>
      <w:proofErr w:type="spellEnd"/>
      <w:r>
        <w:rPr>
          <w:sz w:val="20"/>
          <w:szCs w:val="20"/>
        </w:rPr>
        <w:t xml:space="preserve">, </w:t>
      </w:r>
      <w:proofErr w:type="spellStart"/>
      <w:r>
        <w:rPr>
          <w:sz w:val="20"/>
          <w:szCs w:val="20"/>
        </w:rPr>
        <w:t>highlighting</w:t>
      </w:r>
      <w:proofErr w:type="spellEnd"/>
      <w:r>
        <w:rPr>
          <w:sz w:val="20"/>
          <w:szCs w:val="20"/>
        </w:rPr>
        <w:t xml:space="preserve"> its </w:t>
      </w:r>
      <w:proofErr w:type="spellStart"/>
      <w:r>
        <w:rPr>
          <w:sz w:val="20"/>
          <w:szCs w:val="20"/>
        </w:rPr>
        <w:t>negligence</w:t>
      </w:r>
      <w:proofErr w:type="spellEnd"/>
      <w:r>
        <w:rPr>
          <w:sz w:val="20"/>
          <w:szCs w:val="20"/>
        </w:rPr>
        <w:t xml:space="preserve"> </w:t>
      </w:r>
      <w:proofErr w:type="spellStart"/>
      <w:r>
        <w:rPr>
          <w:sz w:val="20"/>
          <w:szCs w:val="20"/>
        </w:rPr>
        <w:t>about</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racialized</w:t>
      </w:r>
      <w:proofErr w:type="spellEnd"/>
      <w:r>
        <w:rPr>
          <w:sz w:val="20"/>
          <w:szCs w:val="20"/>
        </w:rPr>
        <w:t xml:space="preserve"> </w:t>
      </w:r>
      <w:proofErr w:type="spellStart"/>
      <w:r>
        <w:rPr>
          <w:sz w:val="20"/>
          <w:szCs w:val="20"/>
        </w:rPr>
        <w:t>population</w:t>
      </w:r>
      <w:proofErr w:type="spellEnd"/>
      <w:r>
        <w:rPr>
          <w:sz w:val="20"/>
          <w:szCs w:val="20"/>
        </w:rPr>
        <w:t xml:space="preserve">, </w:t>
      </w:r>
      <w:proofErr w:type="spellStart"/>
      <w:r>
        <w:rPr>
          <w:sz w:val="20"/>
          <w:szCs w:val="20"/>
        </w:rPr>
        <w:lastRenderedPageBreak/>
        <w:t>which</w:t>
      </w:r>
      <w:proofErr w:type="spellEnd"/>
      <w:r>
        <w:rPr>
          <w:sz w:val="20"/>
          <w:szCs w:val="20"/>
        </w:rPr>
        <w:t xml:space="preserve"> </w:t>
      </w:r>
      <w:proofErr w:type="spellStart"/>
      <w:r>
        <w:rPr>
          <w:sz w:val="20"/>
          <w:szCs w:val="20"/>
        </w:rPr>
        <w:t>demonstrates</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existence</w:t>
      </w:r>
      <w:proofErr w:type="spellEnd"/>
      <w:r>
        <w:rPr>
          <w:sz w:val="20"/>
          <w:szCs w:val="20"/>
        </w:rPr>
        <w:t xml:space="preserve"> </w:t>
      </w:r>
      <w:proofErr w:type="spellStart"/>
      <w:r>
        <w:rPr>
          <w:sz w:val="20"/>
          <w:szCs w:val="20"/>
        </w:rPr>
        <w:t>of</w:t>
      </w:r>
      <w:proofErr w:type="spellEnd"/>
      <w:r>
        <w:rPr>
          <w:sz w:val="20"/>
          <w:szCs w:val="20"/>
        </w:rPr>
        <w:t xml:space="preserve"> a racial </w:t>
      </w:r>
      <w:proofErr w:type="spellStart"/>
      <w:r>
        <w:rPr>
          <w:sz w:val="20"/>
          <w:szCs w:val="20"/>
        </w:rPr>
        <w:t>selectivity</w:t>
      </w:r>
      <w:proofErr w:type="spellEnd"/>
      <w:r>
        <w:rPr>
          <w:sz w:val="20"/>
          <w:szCs w:val="20"/>
        </w:rPr>
        <w:t xml:space="preserve"> </w:t>
      </w:r>
      <w:proofErr w:type="spellStart"/>
      <w:r>
        <w:rPr>
          <w:sz w:val="20"/>
          <w:szCs w:val="20"/>
        </w:rPr>
        <w:t>performed</w:t>
      </w:r>
      <w:proofErr w:type="spellEnd"/>
      <w:r>
        <w:rPr>
          <w:sz w:val="20"/>
          <w:szCs w:val="20"/>
        </w:rPr>
        <w:t xml:space="preserve"> </w:t>
      </w:r>
      <w:proofErr w:type="spellStart"/>
      <w:r>
        <w:rPr>
          <w:sz w:val="20"/>
          <w:szCs w:val="20"/>
        </w:rPr>
        <w:t>by</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State</w:t>
      </w:r>
      <w:proofErr w:type="spellEnd"/>
      <w:r>
        <w:rPr>
          <w:sz w:val="20"/>
          <w:szCs w:val="20"/>
        </w:rPr>
        <w:t xml:space="preserve"> </w:t>
      </w:r>
      <w:proofErr w:type="spellStart"/>
      <w:r>
        <w:rPr>
          <w:sz w:val="20"/>
          <w:szCs w:val="20"/>
        </w:rPr>
        <w:t>that</w:t>
      </w:r>
      <w:proofErr w:type="spellEnd"/>
      <w:r>
        <w:rPr>
          <w:sz w:val="20"/>
          <w:szCs w:val="20"/>
        </w:rPr>
        <w:t xml:space="preserve"> </w:t>
      </w:r>
      <w:proofErr w:type="spellStart"/>
      <w:r>
        <w:rPr>
          <w:sz w:val="20"/>
          <w:szCs w:val="20"/>
        </w:rPr>
        <w:t>impacts</w:t>
      </w:r>
      <w:proofErr w:type="spellEnd"/>
      <w:r>
        <w:rPr>
          <w:sz w:val="20"/>
          <w:szCs w:val="20"/>
        </w:rPr>
        <w:t xml:space="preserve"> </w:t>
      </w:r>
      <w:proofErr w:type="spellStart"/>
      <w:r>
        <w:rPr>
          <w:sz w:val="20"/>
          <w:szCs w:val="20"/>
        </w:rPr>
        <w:t>socially</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environmentally</w:t>
      </w:r>
      <w:proofErr w:type="spellEnd"/>
      <w:r>
        <w:rPr>
          <w:sz w:val="20"/>
          <w:szCs w:val="20"/>
        </w:rPr>
        <w:t xml:space="preserve"> </w:t>
      </w:r>
      <w:proofErr w:type="spellStart"/>
      <w:r>
        <w:rPr>
          <w:sz w:val="20"/>
          <w:szCs w:val="20"/>
        </w:rPr>
        <w:t>the</w:t>
      </w:r>
      <w:proofErr w:type="spellEnd"/>
      <w:r>
        <w:rPr>
          <w:sz w:val="20"/>
          <w:szCs w:val="20"/>
        </w:rPr>
        <w:t xml:space="preserve"> lives </w:t>
      </w:r>
      <w:proofErr w:type="spellStart"/>
      <w:r>
        <w:rPr>
          <w:sz w:val="20"/>
          <w:szCs w:val="20"/>
        </w:rPr>
        <w:t>of</w:t>
      </w:r>
      <w:proofErr w:type="spellEnd"/>
      <w:r>
        <w:rPr>
          <w:sz w:val="20"/>
          <w:szCs w:val="20"/>
        </w:rPr>
        <w:t xml:space="preserve"> </w:t>
      </w:r>
      <w:proofErr w:type="spellStart"/>
      <w:r>
        <w:rPr>
          <w:sz w:val="20"/>
          <w:szCs w:val="20"/>
        </w:rPr>
        <w:t>families</w:t>
      </w:r>
      <w:proofErr w:type="spellEnd"/>
      <w:r>
        <w:rPr>
          <w:sz w:val="20"/>
          <w:szCs w:val="20"/>
        </w:rPr>
        <w:t xml:space="preserve">. </w:t>
      </w:r>
      <w:proofErr w:type="spellStart"/>
      <w:r>
        <w:rPr>
          <w:sz w:val="20"/>
          <w:szCs w:val="20"/>
        </w:rPr>
        <w:t>Methodologically</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research</w:t>
      </w:r>
      <w:proofErr w:type="spellEnd"/>
      <w:r>
        <w:rPr>
          <w:sz w:val="20"/>
          <w:szCs w:val="20"/>
        </w:rPr>
        <w:t xml:space="preserve"> </w:t>
      </w:r>
      <w:proofErr w:type="spellStart"/>
      <w:r>
        <w:rPr>
          <w:sz w:val="20"/>
          <w:szCs w:val="20"/>
        </w:rPr>
        <w:t>was</w:t>
      </w:r>
      <w:proofErr w:type="spellEnd"/>
      <w:r>
        <w:rPr>
          <w:sz w:val="20"/>
          <w:szCs w:val="20"/>
        </w:rPr>
        <w:t xml:space="preserve"> </w:t>
      </w:r>
      <w:proofErr w:type="spellStart"/>
      <w:r>
        <w:rPr>
          <w:sz w:val="20"/>
          <w:szCs w:val="20"/>
        </w:rPr>
        <w:t>based</w:t>
      </w:r>
      <w:proofErr w:type="spellEnd"/>
      <w:r>
        <w:rPr>
          <w:sz w:val="20"/>
          <w:szCs w:val="20"/>
        </w:rPr>
        <w:t xml:space="preserve"> </w:t>
      </w:r>
      <w:proofErr w:type="spellStart"/>
      <w:r>
        <w:rPr>
          <w:sz w:val="20"/>
          <w:szCs w:val="20"/>
        </w:rPr>
        <w:t>on</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application</w:t>
      </w:r>
      <w:proofErr w:type="spellEnd"/>
      <w:r>
        <w:rPr>
          <w:sz w:val="20"/>
          <w:szCs w:val="20"/>
        </w:rPr>
        <w:t xml:space="preserve"> </w:t>
      </w:r>
      <w:proofErr w:type="spellStart"/>
      <w:r>
        <w:rPr>
          <w:sz w:val="20"/>
          <w:szCs w:val="20"/>
        </w:rPr>
        <w:t>of</w:t>
      </w:r>
      <w:proofErr w:type="spellEnd"/>
      <w:r>
        <w:rPr>
          <w:sz w:val="20"/>
          <w:szCs w:val="20"/>
        </w:rPr>
        <w:t xml:space="preserve"> 66 </w:t>
      </w:r>
      <w:proofErr w:type="spellStart"/>
      <w:r>
        <w:rPr>
          <w:sz w:val="20"/>
          <w:szCs w:val="20"/>
        </w:rPr>
        <w:t>questionnaires</w:t>
      </w:r>
      <w:proofErr w:type="spellEnd"/>
      <w:r>
        <w:rPr>
          <w:sz w:val="20"/>
          <w:szCs w:val="20"/>
        </w:rPr>
        <w:t xml:space="preserve"> </w:t>
      </w:r>
      <w:proofErr w:type="spellStart"/>
      <w:r>
        <w:rPr>
          <w:sz w:val="20"/>
          <w:szCs w:val="20"/>
        </w:rPr>
        <w:t>answered</w:t>
      </w:r>
      <w:proofErr w:type="spellEnd"/>
      <w:r>
        <w:rPr>
          <w:sz w:val="20"/>
          <w:szCs w:val="20"/>
        </w:rPr>
        <w:t xml:space="preserve"> </w:t>
      </w:r>
      <w:proofErr w:type="spellStart"/>
      <w:r>
        <w:rPr>
          <w:sz w:val="20"/>
          <w:szCs w:val="20"/>
        </w:rPr>
        <w:t>by</w:t>
      </w:r>
      <w:proofErr w:type="spellEnd"/>
      <w:r>
        <w:rPr>
          <w:sz w:val="20"/>
          <w:szCs w:val="20"/>
        </w:rPr>
        <w:t xml:space="preserve"> </w:t>
      </w:r>
      <w:proofErr w:type="spellStart"/>
      <w:r>
        <w:rPr>
          <w:sz w:val="20"/>
          <w:szCs w:val="20"/>
        </w:rPr>
        <w:t>families</w:t>
      </w:r>
      <w:proofErr w:type="spellEnd"/>
      <w:r>
        <w:rPr>
          <w:sz w:val="20"/>
          <w:szCs w:val="20"/>
        </w:rPr>
        <w:t xml:space="preserve"> </w:t>
      </w:r>
      <w:proofErr w:type="spellStart"/>
      <w:r>
        <w:rPr>
          <w:sz w:val="20"/>
          <w:szCs w:val="20"/>
        </w:rPr>
        <w:t>settled</w:t>
      </w:r>
      <w:proofErr w:type="spellEnd"/>
      <w:r>
        <w:rPr>
          <w:sz w:val="20"/>
          <w:szCs w:val="20"/>
        </w:rPr>
        <w:t xml:space="preserve"> in </w:t>
      </w:r>
      <w:proofErr w:type="spellStart"/>
      <w:r>
        <w:rPr>
          <w:sz w:val="20"/>
          <w:szCs w:val="20"/>
        </w:rPr>
        <w:t>the</w:t>
      </w:r>
      <w:proofErr w:type="spellEnd"/>
      <w:r>
        <w:rPr>
          <w:sz w:val="20"/>
          <w:szCs w:val="20"/>
        </w:rPr>
        <w:t xml:space="preserve"> Vale da Esperança PA, </w:t>
      </w:r>
      <w:proofErr w:type="spellStart"/>
      <w:r>
        <w:rPr>
          <w:sz w:val="20"/>
          <w:szCs w:val="20"/>
        </w:rPr>
        <w:t>combined</w:t>
      </w:r>
      <w:proofErr w:type="spellEnd"/>
      <w:r>
        <w:rPr>
          <w:sz w:val="20"/>
          <w:szCs w:val="20"/>
        </w:rPr>
        <w:t xml:space="preserve"> </w:t>
      </w:r>
      <w:proofErr w:type="spellStart"/>
      <w:r>
        <w:rPr>
          <w:sz w:val="20"/>
          <w:szCs w:val="20"/>
        </w:rPr>
        <w:t>with</w:t>
      </w:r>
      <w:proofErr w:type="spellEnd"/>
      <w:r>
        <w:rPr>
          <w:sz w:val="20"/>
          <w:szCs w:val="20"/>
        </w:rPr>
        <w:t xml:space="preserve"> </w:t>
      </w:r>
      <w:proofErr w:type="spellStart"/>
      <w:r>
        <w:rPr>
          <w:sz w:val="20"/>
          <w:szCs w:val="20"/>
        </w:rPr>
        <w:t>bibliographic</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documentary</w:t>
      </w:r>
      <w:proofErr w:type="spellEnd"/>
      <w:r>
        <w:rPr>
          <w:sz w:val="20"/>
          <w:szCs w:val="20"/>
        </w:rPr>
        <w:t xml:space="preserve"> </w:t>
      </w:r>
      <w:proofErr w:type="spellStart"/>
      <w:r>
        <w:rPr>
          <w:sz w:val="20"/>
          <w:szCs w:val="20"/>
        </w:rPr>
        <w:t>analysis</w:t>
      </w:r>
      <w:proofErr w:type="spellEnd"/>
      <w:r>
        <w:rPr>
          <w:sz w:val="20"/>
          <w:szCs w:val="20"/>
        </w:rPr>
        <w:t xml:space="preserve">. As a </w:t>
      </w:r>
      <w:proofErr w:type="spellStart"/>
      <w:r>
        <w:rPr>
          <w:sz w:val="20"/>
          <w:szCs w:val="20"/>
        </w:rPr>
        <w:t>result</w:t>
      </w:r>
      <w:proofErr w:type="spellEnd"/>
      <w:r>
        <w:rPr>
          <w:sz w:val="20"/>
          <w:szCs w:val="20"/>
        </w:rPr>
        <w:t xml:space="preserve">, </w:t>
      </w:r>
      <w:proofErr w:type="spellStart"/>
      <w:r>
        <w:rPr>
          <w:sz w:val="20"/>
          <w:szCs w:val="20"/>
        </w:rPr>
        <w:t>we</w:t>
      </w:r>
      <w:proofErr w:type="spellEnd"/>
      <w:r>
        <w:rPr>
          <w:sz w:val="20"/>
          <w:szCs w:val="20"/>
        </w:rPr>
        <w:t xml:space="preserve"> </w:t>
      </w:r>
      <w:proofErr w:type="spellStart"/>
      <w:r>
        <w:rPr>
          <w:sz w:val="20"/>
          <w:szCs w:val="20"/>
        </w:rPr>
        <w:t>present</w:t>
      </w:r>
      <w:proofErr w:type="spellEnd"/>
      <w:r>
        <w:rPr>
          <w:sz w:val="20"/>
          <w:szCs w:val="20"/>
        </w:rPr>
        <w:t xml:space="preserve"> </w:t>
      </w:r>
      <w:proofErr w:type="spellStart"/>
      <w:r>
        <w:rPr>
          <w:sz w:val="20"/>
          <w:szCs w:val="20"/>
        </w:rPr>
        <w:t>the</w:t>
      </w:r>
      <w:proofErr w:type="spellEnd"/>
      <w:r>
        <w:rPr>
          <w:sz w:val="20"/>
          <w:szCs w:val="20"/>
        </w:rPr>
        <w:t xml:space="preserve"> social </w:t>
      </w:r>
      <w:proofErr w:type="spellStart"/>
      <w:r>
        <w:rPr>
          <w:sz w:val="20"/>
          <w:szCs w:val="20"/>
        </w:rPr>
        <w:t>reproduction</w:t>
      </w:r>
      <w:proofErr w:type="spellEnd"/>
      <w:r>
        <w:rPr>
          <w:sz w:val="20"/>
          <w:szCs w:val="20"/>
        </w:rPr>
        <w:t xml:space="preserve"> </w:t>
      </w:r>
      <w:proofErr w:type="spellStart"/>
      <w:r>
        <w:rPr>
          <w:sz w:val="20"/>
          <w:szCs w:val="20"/>
        </w:rPr>
        <w:t>strategies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families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settlement</w:t>
      </w:r>
      <w:proofErr w:type="spellEnd"/>
      <w:r>
        <w:rPr>
          <w:sz w:val="20"/>
          <w:szCs w:val="20"/>
        </w:rPr>
        <w:t xml:space="preserve"> in </w:t>
      </w:r>
      <w:proofErr w:type="spellStart"/>
      <w:r>
        <w:rPr>
          <w:sz w:val="20"/>
          <w:szCs w:val="20"/>
        </w:rPr>
        <w:t>the</w:t>
      </w:r>
      <w:proofErr w:type="spellEnd"/>
      <w:r>
        <w:rPr>
          <w:sz w:val="20"/>
          <w:szCs w:val="20"/>
        </w:rPr>
        <w:t xml:space="preserve"> face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incompleteness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contrasts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Sustainable</w:t>
      </w:r>
      <w:proofErr w:type="spellEnd"/>
      <w:r>
        <w:rPr>
          <w:sz w:val="20"/>
          <w:szCs w:val="20"/>
        </w:rPr>
        <w:t xml:space="preserve"> </w:t>
      </w:r>
      <w:proofErr w:type="spellStart"/>
      <w:r>
        <w:rPr>
          <w:sz w:val="20"/>
          <w:szCs w:val="20"/>
        </w:rPr>
        <w:t>Development</w:t>
      </w:r>
      <w:proofErr w:type="spellEnd"/>
      <w:r>
        <w:rPr>
          <w:sz w:val="20"/>
          <w:szCs w:val="20"/>
        </w:rPr>
        <w:t xml:space="preserve"> </w:t>
      </w:r>
      <w:proofErr w:type="spellStart"/>
      <w:r>
        <w:rPr>
          <w:sz w:val="20"/>
          <w:szCs w:val="20"/>
        </w:rPr>
        <w:t>Plan</w:t>
      </w:r>
      <w:proofErr w:type="spellEnd"/>
      <w:r>
        <w:rPr>
          <w:sz w:val="20"/>
          <w:szCs w:val="20"/>
        </w:rPr>
        <w:t>.</w:t>
      </w:r>
    </w:p>
    <w:p w14:paraId="4880D7E4" w14:textId="77777777" w:rsidR="007B75BC" w:rsidRDefault="00000000" w:rsidP="006A540E">
      <w:pPr>
        <w:ind w:left="2834"/>
        <w:jc w:val="both"/>
        <w:rPr>
          <w:sz w:val="20"/>
          <w:szCs w:val="20"/>
        </w:rPr>
      </w:pPr>
      <w:proofErr w:type="spellStart"/>
      <w:r>
        <w:rPr>
          <w:b/>
          <w:sz w:val="20"/>
          <w:szCs w:val="20"/>
        </w:rPr>
        <w:t>keywords</w:t>
      </w:r>
      <w:proofErr w:type="spellEnd"/>
      <w:r>
        <w:rPr>
          <w:b/>
          <w:sz w:val="20"/>
          <w:szCs w:val="20"/>
        </w:rPr>
        <w:t xml:space="preserve">: </w:t>
      </w:r>
      <w:r>
        <w:rPr>
          <w:sz w:val="20"/>
          <w:szCs w:val="20"/>
        </w:rPr>
        <w:t xml:space="preserve">Racial </w:t>
      </w:r>
      <w:proofErr w:type="spellStart"/>
      <w:r>
        <w:rPr>
          <w:sz w:val="20"/>
          <w:szCs w:val="20"/>
        </w:rPr>
        <w:t>selectivity</w:t>
      </w:r>
      <w:proofErr w:type="spellEnd"/>
      <w:r>
        <w:rPr>
          <w:sz w:val="20"/>
          <w:szCs w:val="20"/>
        </w:rPr>
        <w:t xml:space="preserve">; </w:t>
      </w:r>
      <w:proofErr w:type="spellStart"/>
      <w:r>
        <w:rPr>
          <w:sz w:val="20"/>
          <w:szCs w:val="20"/>
        </w:rPr>
        <w:t>sustainable</w:t>
      </w:r>
      <w:proofErr w:type="spellEnd"/>
      <w:r>
        <w:rPr>
          <w:sz w:val="20"/>
          <w:szCs w:val="20"/>
        </w:rPr>
        <w:t xml:space="preserve"> </w:t>
      </w:r>
      <w:proofErr w:type="spellStart"/>
      <w:r>
        <w:rPr>
          <w:sz w:val="20"/>
          <w:szCs w:val="20"/>
        </w:rPr>
        <w:t>development</w:t>
      </w:r>
      <w:proofErr w:type="spellEnd"/>
      <w:r>
        <w:rPr>
          <w:sz w:val="20"/>
          <w:szCs w:val="20"/>
        </w:rPr>
        <w:t xml:space="preserve">; </w:t>
      </w:r>
      <w:proofErr w:type="spellStart"/>
      <w:r>
        <w:rPr>
          <w:sz w:val="20"/>
          <w:szCs w:val="20"/>
        </w:rPr>
        <w:t>public</w:t>
      </w:r>
      <w:proofErr w:type="spellEnd"/>
      <w:r>
        <w:rPr>
          <w:sz w:val="20"/>
          <w:szCs w:val="20"/>
        </w:rPr>
        <w:t xml:space="preserve"> policies; rural </w:t>
      </w:r>
      <w:proofErr w:type="spellStart"/>
      <w:r>
        <w:rPr>
          <w:sz w:val="20"/>
          <w:szCs w:val="20"/>
        </w:rPr>
        <w:t>settlements</w:t>
      </w:r>
      <w:proofErr w:type="spellEnd"/>
      <w:r>
        <w:rPr>
          <w:sz w:val="20"/>
          <w:szCs w:val="20"/>
        </w:rPr>
        <w:t xml:space="preserve">. </w:t>
      </w:r>
    </w:p>
    <w:p w14:paraId="11E723B7" w14:textId="77777777" w:rsidR="007B75BC" w:rsidRDefault="007B75BC" w:rsidP="006A540E">
      <w:pPr>
        <w:spacing w:line="240" w:lineRule="auto"/>
        <w:ind w:left="2835"/>
        <w:jc w:val="both"/>
        <w:rPr>
          <w:sz w:val="24"/>
          <w:szCs w:val="24"/>
        </w:rPr>
      </w:pPr>
    </w:p>
    <w:p w14:paraId="6B51EDCF" w14:textId="77777777" w:rsidR="007B75BC" w:rsidRDefault="00000000">
      <w:pPr>
        <w:spacing w:after="200" w:line="360" w:lineRule="auto"/>
        <w:rPr>
          <w:sz w:val="24"/>
          <w:szCs w:val="24"/>
        </w:rPr>
      </w:pPr>
      <w:r>
        <w:rPr>
          <w:b/>
          <w:sz w:val="24"/>
          <w:szCs w:val="24"/>
        </w:rPr>
        <w:t>1</w:t>
      </w:r>
      <w:r>
        <w:rPr>
          <w:b/>
          <w:sz w:val="24"/>
          <w:szCs w:val="24"/>
        </w:rPr>
        <w:tab/>
        <w:t>INTRODUÇÃO</w:t>
      </w:r>
    </w:p>
    <w:p w14:paraId="411CFF3B" w14:textId="77777777" w:rsidR="007B75BC" w:rsidRDefault="00000000">
      <w:pPr>
        <w:spacing w:line="360" w:lineRule="auto"/>
        <w:ind w:firstLine="720"/>
        <w:jc w:val="both"/>
        <w:rPr>
          <w:sz w:val="24"/>
          <w:szCs w:val="24"/>
        </w:rPr>
      </w:pPr>
      <w:r>
        <w:rPr>
          <w:sz w:val="24"/>
          <w:szCs w:val="24"/>
        </w:rPr>
        <w:t xml:space="preserve">Segundo os dados do Instituto Brasileiro de Geografia e Estatística (IBGE) de 2022, a cidade de Teresina-PI possui </w:t>
      </w:r>
      <w:r>
        <w:rPr>
          <w:sz w:val="24"/>
          <w:szCs w:val="24"/>
          <w:highlight w:val="white"/>
        </w:rPr>
        <w:t>1.391,293 km² de área territorial, deste número, 228,32 km² são de área urbana (19%) e 1.580 km² representa a área rural (81%). Conforme aponta a Secretaria Municipal de Planejamento (SEPLAN), a área rural da cidade possui um total 48.735 (5,7% da população) distribuídos em 87 comuni</w:t>
      </w:r>
      <w:r>
        <w:rPr>
          <w:sz w:val="24"/>
          <w:szCs w:val="24"/>
        </w:rPr>
        <w:t xml:space="preserve">dades (Teresina, 2020), sendo o maior território rural da região nordeste. Ressalta-se que dados divulgados pelo Atlas de Desenvolvimento Humano do Brasil (2017), </w:t>
      </w:r>
      <w:r>
        <w:rPr>
          <w:sz w:val="24"/>
          <w:szCs w:val="24"/>
          <w:highlight w:val="white"/>
        </w:rPr>
        <w:t xml:space="preserve">apresentam que 71,1% da população de Teresina é composta por pessoas negras. </w:t>
      </w:r>
    </w:p>
    <w:p w14:paraId="10785CF8" w14:textId="77777777" w:rsidR="007B75BC" w:rsidRDefault="00000000">
      <w:pPr>
        <w:spacing w:line="360" w:lineRule="auto"/>
        <w:ind w:firstLine="720"/>
        <w:jc w:val="both"/>
        <w:rPr>
          <w:sz w:val="24"/>
          <w:szCs w:val="24"/>
        </w:rPr>
      </w:pPr>
      <w:r>
        <w:rPr>
          <w:sz w:val="24"/>
          <w:szCs w:val="24"/>
        </w:rPr>
        <w:t xml:space="preserve">De acordo com estudos realizados pelo Instituto Nacional de Colonização e Reforma Agrária - INCRA, consolidados no Relatório de Análise de Mercado de Terras do Estado do Piauí – RAMT/PI, existem hoje na zona rural de Teresina 15 assentamentos reconhecidos ou criados pelo INCRA (Piauí, 2020). </w:t>
      </w:r>
      <w:r>
        <w:rPr>
          <w:sz w:val="24"/>
          <w:szCs w:val="24"/>
          <w:highlight w:val="white"/>
        </w:rPr>
        <w:t>O documento aponta que a capital</w:t>
      </w:r>
      <w:r>
        <w:rPr>
          <w:sz w:val="24"/>
          <w:szCs w:val="24"/>
        </w:rPr>
        <w:t xml:space="preserve"> piauiense apresenta uma estrutura fundiária com </w:t>
      </w:r>
      <w:proofErr w:type="gramStart"/>
      <w:r>
        <w:rPr>
          <w:sz w:val="24"/>
          <w:szCs w:val="24"/>
        </w:rPr>
        <w:t>um grande número de propriedades</w:t>
      </w:r>
      <w:proofErr w:type="gramEnd"/>
      <w:r>
        <w:rPr>
          <w:sz w:val="24"/>
          <w:szCs w:val="24"/>
        </w:rPr>
        <w:t xml:space="preserve"> do tipo minifúndio e pequena propriedade, no entanto, estas representam um baixo percentual de extensão de terras em hectares, já as grandes propriedades ocupam uma área significativa do território, concentrando a terra em número menor de proprietários (Teresina, 2020). </w:t>
      </w:r>
    </w:p>
    <w:p w14:paraId="74934419" w14:textId="77777777" w:rsidR="007B75BC" w:rsidRDefault="00000000">
      <w:pPr>
        <w:spacing w:line="360" w:lineRule="auto"/>
        <w:ind w:firstLine="720"/>
        <w:jc w:val="both"/>
        <w:rPr>
          <w:sz w:val="24"/>
          <w:szCs w:val="24"/>
        </w:rPr>
      </w:pPr>
      <w:r>
        <w:rPr>
          <w:sz w:val="24"/>
          <w:szCs w:val="24"/>
        </w:rPr>
        <w:t xml:space="preserve">Somando-se a este ponto, os resultados do Censo Agropecuário de 2017, ao apresentar dados dentro do corte racial, apontam que no Piauí as pessoas negras são maioria em propriedades com menos de 5 hectares, já em propriedades acima de 10 </w:t>
      </w:r>
      <w:r>
        <w:rPr>
          <w:sz w:val="24"/>
          <w:szCs w:val="24"/>
        </w:rPr>
        <w:lastRenderedPageBreak/>
        <w:t xml:space="preserve">mil hectares, 81,40% estão sob domínio de pessoas brancas e apenas 18,60% pertencem a pessoas negras (Censo Agropecuário/IBGE, 2019). O Censo deixa visível em números a desigualdade racial presente no campo brasileiro, o que vem historicamente </w:t>
      </w:r>
      <w:r>
        <w:rPr>
          <w:sz w:val="24"/>
          <w:szCs w:val="24"/>
          <w:highlight w:val="white"/>
        </w:rPr>
        <w:t xml:space="preserve">acentuando as injustiças sociais, territoriais e ambientais vivenciadas pelas populações mais vulneráveis. </w:t>
      </w:r>
    </w:p>
    <w:p w14:paraId="50A86127" w14:textId="77777777" w:rsidR="007B75BC" w:rsidRDefault="00000000">
      <w:pPr>
        <w:spacing w:line="360" w:lineRule="auto"/>
        <w:ind w:firstLine="720"/>
        <w:jc w:val="both"/>
        <w:rPr>
          <w:sz w:val="24"/>
          <w:szCs w:val="24"/>
        </w:rPr>
      </w:pPr>
      <w:r>
        <w:rPr>
          <w:sz w:val="24"/>
          <w:szCs w:val="24"/>
        </w:rPr>
        <w:t xml:space="preserve">Com o intuito de construir uma capital acessível e sustentável para toda a população teresinense, em 2006 foi sancionada a Lei nº 3.558 que institui o Plano Diretor de Teresina - PDOT, denominado como “Plano de Desenvolvimento Sustentável” (Teresina, 2006), que ficaria vigente pelo prazo de 10 anos. Posteriormente, em 2019, foi instituída a Lei Complementar nº 5.481/19, que dispõe sobre o PDOT/2019, em vigência até 2030, e tem como objetivo geral “orientar a Política de Desenvolvimento Territorial do Município, sendo instrumento básico da política de desenvolvimento e ordenamento territorial [...]” (Teresina, 2019 p. 1). </w:t>
      </w:r>
    </w:p>
    <w:p w14:paraId="66A3E890" w14:textId="77777777" w:rsidR="007B75BC" w:rsidRDefault="00000000">
      <w:pPr>
        <w:spacing w:line="360" w:lineRule="auto"/>
        <w:ind w:firstLine="720"/>
        <w:jc w:val="both"/>
        <w:rPr>
          <w:sz w:val="24"/>
          <w:szCs w:val="24"/>
        </w:rPr>
      </w:pPr>
      <w:r>
        <w:rPr>
          <w:sz w:val="24"/>
          <w:szCs w:val="24"/>
        </w:rPr>
        <w:t xml:space="preserve"> Desta forma, o presente artigo objetiva problematizar o “Plano de Desenvolvimento Sustentável” de Teresina instituído pela Lei nº 3.558/2006 e reafirmado na Lei nº 5.481/2019, enquanto instrumentos de desenvolvimento e ordenamento territorial em particular para a área rural, e como tais instrumentos apresentam contradições que impactam diretamente a população não branca </w:t>
      </w:r>
      <w:proofErr w:type="spellStart"/>
      <w:r>
        <w:rPr>
          <w:sz w:val="24"/>
          <w:szCs w:val="24"/>
        </w:rPr>
        <w:t>racializada</w:t>
      </w:r>
      <w:proofErr w:type="spellEnd"/>
      <w:r>
        <w:rPr>
          <w:sz w:val="24"/>
          <w:szCs w:val="24"/>
        </w:rPr>
        <w:t xml:space="preserve">,  reproduzindo desigualdades raciais, aos recursos produtivos e às condições de permanência da população negra assentada, a partir da experiência do Projeto de Assentamento (PA) Vale da Esperança, localizado na zona Sudeste da capital. </w:t>
      </w:r>
    </w:p>
    <w:p w14:paraId="391DBC85" w14:textId="77777777" w:rsidR="007B75BC" w:rsidRDefault="00000000">
      <w:pPr>
        <w:spacing w:after="200" w:line="360" w:lineRule="auto"/>
        <w:ind w:firstLine="720"/>
        <w:jc w:val="both"/>
        <w:rPr>
          <w:sz w:val="24"/>
          <w:szCs w:val="24"/>
        </w:rPr>
      </w:pPr>
      <w:r>
        <w:rPr>
          <w:sz w:val="24"/>
          <w:szCs w:val="24"/>
        </w:rPr>
        <w:t xml:space="preserve"> O respectivo PA é fruto da luta pelo acesso à terra mobilizado pelo Movimento dos Trabalhadores Rurais Sem Terra (MST). Essa mobilização levou à desapropriação por interesse social de uma área de 898.19 hectares, com Imissão de Posse em fevereiro de 2006. No território atualmente encontram-se 64 famílias assentadas e 14 famílias agregadas, sendo este o campo empírico da dissertação de uma das autoras deste artigo. </w:t>
      </w:r>
    </w:p>
    <w:p w14:paraId="44D61CD9" w14:textId="77777777" w:rsidR="007B75BC" w:rsidRDefault="00000000">
      <w:pPr>
        <w:spacing w:after="200" w:line="360" w:lineRule="auto"/>
        <w:ind w:firstLine="720"/>
        <w:jc w:val="both"/>
        <w:rPr>
          <w:sz w:val="24"/>
          <w:szCs w:val="24"/>
        </w:rPr>
      </w:pPr>
      <w:r>
        <w:rPr>
          <w:sz w:val="24"/>
          <w:szCs w:val="24"/>
        </w:rPr>
        <w:lastRenderedPageBreak/>
        <w:t xml:space="preserve">Metodologicamente, as informações contidas foram obtidas através de análises bibliográfica e documental, agregando contribuições teóricas de textos trabalhados no curso </w:t>
      </w:r>
      <w:r>
        <w:rPr>
          <w:i/>
          <w:sz w:val="24"/>
          <w:szCs w:val="24"/>
        </w:rPr>
        <w:t>(</w:t>
      </w:r>
      <w:proofErr w:type="spellStart"/>
      <w:r>
        <w:rPr>
          <w:i/>
          <w:sz w:val="24"/>
          <w:szCs w:val="24"/>
        </w:rPr>
        <w:t>im</w:t>
      </w:r>
      <w:proofErr w:type="spellEnd"/>
      <w:r>
        <w:rPr>
          <w:i/>
          <w:sz w:val="24"/>
          <w:szCs w:val="24"/>
        </w:rPr>
        <w:t xml:space="preserve">)possibilidades do desenvolvimento: modernidade e nação no Sul Global, </w:t>
      </w:r>
      <w:r>
        <w:rPr>
          <w:sz w:val="24"/>
          <w:szCs w:val="24"/>
        </w:rPr>
        <w:t>ministrado no do Programa de Pós-Graduação Interdisciplinar em Sociedade e Cultura-UESPI, que teve como objetivo oferecer análises críticas sobre como políticas de desenvolvimento que se realizam fora do Norte, no intuito de perceber tais políticas pelo seu viés pragmático, dando especial atenção para povos negros e não brancos, suas vidas e formas de resistência.</w:t>
      </w:r>
    </w:p>
    <w:p w14:paraId="651D8533" w14:textId="77777777" w:rsidR="007B75BC" w:rsidRDefault="00000000">
      <w:pPr>
        <w:spacing w:after="200" w:line="360" w:lineRule="auto"/>
        <w:jc w:val="both"/>
        <w:rPr>
          <w:b/>
          <w:sz w:val="24"/>
          <w:szCs w:val="24"/>
        </w:rPr>
      </w:pPr>
      <w:r>
        <w:rPr>
          <w:b/>
          <w:sz w:val="24"/>
          <w:szCs w:val="24"/>
        </w:rPr>
        <w:t>2</w:t>
      </w:r>
      <w:r>
        <w:rPr>
          <w:b/>
          <w:sz w:val="24"/>
          <w:szCs w:val="24"/>
        </w:rPr>
        <w:tab/>
        <w:t>A TERRA E O CORPO NEGRO: RACISMO FUNDIÁRIO E A PRODUÇÃO DE INJUSTIÇAS NO CAMPO</w:t>
      </w:r>
    </w:p>
    <w:p w14:paraId="388BE399" w14:textId="6D636188" w:rsidR="007B75BC" w:rsidRDefault="00000000">
      <w:pPr>
        <w:spacing w:line="360" w:lineRule="auto"/>
        <w:ind w:firstLine="720"/>
        <w:jc w:val="both"/>
        <w:rPr>
          <w:sz w:val="24"/>
          <w:szCs w:val="24"/>
        </w:rPr>
      </w:pPr>
      <w:r>
        <w:rPr>
          <w:sz w:val="24"/>
          <w:szCs w:val="24"/>
        </w:rPr>
        <w:t xml:space="preserve">Boa parte dos debates em torno da questão rural no Brasil tem seguido uma tendência de análise em torno das categorias de terra e trabalho, evidenciando seus fatores produtivos, suas dinâmicas de transformação e acumulação capitalistas e as agências em torno das ações de resistências das populações rurais que tem suas condições de existência marginalizadas. Para além desses fatores, há necessidade de compreender as dinâmicas raciais que operam em torno da criação de políticas </w:t>
      </w:r>
      <w:r w:rsidR="00CE216A">
        <w:rPr>
          <w:sz w:val="24"/>
          <w:szCs w:val="24"/>
        </w:rPr>
        <w:t>públicas voltadas</w:t>
      </w:r>
      <w:r>
        <w:rPr>
          <w:sz w:val="24"/>
          <w:szCs w:val="24"/>
        </w:rPr>
        <w:t xml:space="preserve"> para o mundo rural, a fim de compreender o processo histórico e social que estrutura e posiciona grupos não brancos de forma subordinada por meio de práticas de exclusão e violência, atentando para as dinâmicas de seletividade racial presentes na contemporaneidade através de programas e projetos de desenvolvimento. </w:t>
      </w:r>
    </w:p>
    <w:p w14:paraId="69A737E6" w14:textId="0BE9D170" w:rsidR="007B75BC" w:rsidRDefault="00000000">
      <w:pPr>
        <w:spacing w:line="360" w:lineRule="auto"/>
        <w:ind w:firstLine="720"/>
        <w:jc w:val="both"/>
        <w:rPr>
          <w:sz w:val="24"/>
          <w:szCs w:val="24"/>
        </w:rPr>
      </w:pPr>
      <w:r>
        <w:rPr>
          <w:sz w:val="24"/>
          <w:szCs w:val="24"/>
        </w:rPr>
        <w:t xml:space="preserve">Essa dimensão racial também pode ser compreendida a luz do que Walter Rodney (2022) analisou a partir da relação de subdesenvolvimento entre Europa e África, apontando a escravidão de africanos como fator principal da acumulação europeia e evidenciando a questão racial na gênese do desenvolvimento capitalista. A racionalização da exploração a partir do viés da raça, segundo o </w:t>
      </w:r>
      <w:r w:rsidR="00CE216A">
        <w:rPr>
          <w:sz w:val="24"/>
          <w:szCs w:val="24"/>
        </w:rPr>
        <w:t>autor, possibilitou</w:t>
      </w:r>
      <w:r>
        <w:rPr>
          <w:sz w:val="24"/>
          <w:szCs w:val="24"/>
        </w:rPr>
        <w:t xml:space="preserve"> à Europa expandir suas fronteiras econômicas, tutelando os modos de vida de outras sociedades.</w:t>
      </w:r>
    </w:p>
    <w:p w14:paraId="4F187228" w14:textId="4032897D" w:rsidR="007B75BC" w:rsidRDefault="00000000">
      <w:pPr>
        <w:spacing w:line="360" w:lineRule="auto"/>
        <w:ind w:firstLine="720"/>
        <w:jc w:val="both"/>
        <w:rPr>
          <w:sz w:val="24"/>
          <w:szCs w:val="24"/>
        </w:rPr>
      </w:pPr>
      <w:r>
        <w:rPr>
          <w:sz w:val="24"/>
          <w:szCs w:val="24"/>
        </w:rPr>
        <w:lastRenderedPageBreak/>
        <w:t xml:space="preserve">Assim, boa parte das ações de desenvolvimento que fundamentam a criação de políticas públicas partem da necessidade de resolver demandas econômicas e sociais de grupos denominados como pobres e subdesenvolvidos, de modo que </w:t>
      </w:r>
      <w:r w:rsidR="00CE216A">
        <w:rPr>
          <w:sz w:val="24"/>
          <w:szCs w:val="24"/>
        </w:rPr>
        <w:t>se afastem</w:t>
      </w:r>
      <w:r>
        <w:rPr>
          <w:sz w:val="24"/>
          <w:szCs w:val="24"/>
        </w:rPr>
        <w:t xml:space="preserve"> das concepções de atraso. Para Furtado (1974), boa parte das ações implementadas para se combater o subdesenvolvimento, especialmente a difusão mundial do progresso técnico, não conseguiram dar conta de liquidar essa realidade agravando as desigualdades sociais e raciais.</w:t>
      </w:r>
    </w:p>
    <w:p w14:paraId="77E04F2E" w14:textId="11B14FBF" w:rsidR="007B75BC" w:rsidRDefault="00000000">
      <w:pPr>
        <w:spacing w:line="360" w:lineRule="auto"/>
        <w:ind w:firstLine="720"/>
        <w:jc w:val="both"/>
        <w:rPr>
          <w:sz w:val="24"/>
          <w:szCs w:val="24"/>
        </w:rPr>
      </w:pPr>
      <w:r>
        <w:rPr>
          <w:sz w:val="24"/>
          <w:szCs w:val="24"/>
          <w:highlight w:val="white"/>
        </w:rPr>
        <w:t>Nesse sentido, nos deparamos co</w:t>
      </w:r>
      <w:r>
        <w:rPr>
          <w:sz w:val="24"/>
          <w:szCs w:val="24"/>
        </w:rPr>
        <w:t>m um dese</w:t>
      </w:r>
      <w:r>
        <w:rPr>
          <w:sz w:val="24"/>
          <w:szCs w:val="24"/>
          <w:highlight w:val="white"/>
        </w:rPr>
        <w:t>nvolvimento que em nome do crescimento econômico atua de maneira predatória, causando danos desastrosos às populações historicamente marginalizadas.</w:t>
      </w:r>
      <w:r>
        <w:rPr>
          <w:sz w:val="24"/>
          <w:szCs w:val="24"/>
        </w:rPr>
        <w:t xml:space="preserve"> Estes danos em muitos casos correspondem ao que vem sendo denominado como racismo </w:t>
      </w:r>
      <w:r w:rsidR="00CE216A">
        <w:rPr>
          <w:sz w:val="24"/>
          <w:szCs w:val="24"/>
        </w:rPr>
        <w:t>ambiental, “</w:t>
      </w:r>
      <w:r>
        <w:rPr>
          <w:sz w:val="24"/>
          <w:szCs w:val="24"/>
        </w:rPr>
        <w:t xml:space="preserve">injustiças sociais e ambientais que recaem de forma desproporcional sobre povos vulnerabilizados [...] por meio de ações que tenham impacto racial, não obstante a intenção que lhes tenha dado origem” (Herculano, 2008, p.16), a autora completa argumentando que estas ações são defrontadas por </w:t>
      </w:r>
      <w:proofErr w:type="spellStart"/>
      <w:r>
        <w:rPr>
          <w:sz w:val="24"/>
          <w:szCs w:val="24"/>
        </w:rPr>
        <w:t>empreendimentos</w:t>
      </w:r>
      <w:proofErr w:type="spellEnd"/>
      <w:r>
        <w:rPr>
          <w:sz w:val="24"/>
          <w:szCs w:val="24"/>
        </w:rPr>
        <w:t xml:space="preserve"> capitalistas que marginalizam os territórios, exploram a natureza e destrói culturas. </w:t>
      </w:r>
    </w:p>
    <w:p w14:paraId="734A9211" w14:textId="77777777" w:rsidR="007B75BC" w:rsidRDefault="00000000">
      <w:pPr>
        <w:spacing w:line="360" w:lineRule="auto"/>
        <w:ind w:firstLine="720"/>
        <w:jc w:val="both"/>
        <w:rPr>
          <w:sz w:val="24"/>
          <w:szCs w:val="24"/>
        </w:rPr>
      </w:pPr>
      <w:r>
        <w:rPr>
          <w:sz w:val="24"/>
          <w:szCs w:val="24"/>
        </w:rPr>
        <w:t xml:space="preserve"> Tal fato, revela como os projetos de desenvolvimento apresentam contradições que envolvem o tema, no qual apenas os fatores econômicos são privilegiados em nome da modernização, o que contribui para compreendermos o desenvolvimento no Brasil como uma promessa cumprida para poucos (Furtado, 1974). Torna-se evidente a ineficiência do Estado de levar em consideração as especificidades de demandas, e o resultado disso “[...] tem sido o avanço da lógica liberal de concentrar terra, capital e produzir desastres ambientais e sociais, que alveja territórios e modos de vida” (Sousa; Machado, 2024, p.22).  Assim, aliado ao racismo ambiental, o racismo fundiário intensifica de forma exacerbada as injustiças que recaem sobre os povos negros, atuando como</w:t>
      </w:r>
    </w:p>
    <w:p w14:paraId="0ED287D8" w14:textId="77777777" w:rsidR="007B75BC" w:rsidRDefault="00000000">
      <w:pPr>
        <w:spacing w:line="240" w:lineRule="auto"/>
        <w:ind w:left="2267"/>
        <w:jc w:val="both"/>
        <w:rPr>
          <w:sz w:val="20"/>
          <w:szCs w:val="20"/>
        </w:rPr>
      </w:pPr>
      <w:r>
        <w:rPr>
          <w:sz w:val="20"/>
          <w:szCs w:val="20"/>
        </w:rPr>
        <w:t xml:space="preserve">uma complexa rede que articula ações violentas dos(as) brancos(as) contra os corpos, as culturas, os territórios e bens ambientais de negros(as) e índios(as), as formas jurídicas limitadoras e ceifadoras dessas cosmovisões, os estrangulamentos orçamentários e políticas estatais vocacionadas a </w:t>
      </w:r>
      <w:r>
        <w:rPr>
          <w:sz w:val="20"/>
          <w:szCs w:val="20"/>
        </w:rPr>
        <w:lastRenderedPageBreak/>
        <w:t>fortalecer seus empreendimentos predatórios, a pilhagem secular de corpos, minérios, saberes etc. (Gomes, 2019, p. 3).</w:t>
      </w:r>
    </w:p>
    <w:p w14:paraId="3DB23213" w14:textId="77777777" w:rsidR="007B75BC" w:rsidRDefault="007B75BC">
      <w:pPr>
        <w:spacing w:line="240" w:lineRule="auto"/>
        <w:ind w:left="2267"/>
        <w:jc w:val="both"/>
        <w:rPr>
          <w:sz w:val="20"/>
          <w:szCs w:val="20"/>
        </w:rPr>
      </w:pPr>
    </w:p>
    <w:p w14:paraId="7837DD1D" w14:textId="77777777" w:rsidR="007B75BC" w:rsidRDefault="00000000">
      <w:pPr>
        <w:spacing w:line="360" w:lineRule="auto"/>
        <w:ind w:firstLine="720"/>
        <w:jc w:val="both"/>
        <w:rPr>
          <w:sz w:val="24"/>
          <w:szCs w:val="24"/>
        </w:rPr>
      </w:pPr>
      <w:r>
        <w:rPr>
          <w:sz w:val="24"/>
          <w:szCs w:val="24"/>
        </w:rPr>
        <w:t>Pena (2022) corrobora com a ideia, acrescentando que o racismo fundiário é gestado por meio da seletividade estrutural e racial, que privilegiam o uso da terra ao modelo hegemônico de produção voltado para grandes empreendimentos liderados por brancos, assim garantindo o seu uso privado por meio das ações do próprio Estado ao criar mecanismos legais que legitimam a ação do capital. Enquanto isso colaboram com as desigualdades raciais no campo por não criar instrumentos políticos que equiparem os acessos às políticas, pautando os territórios rurais apenas como espaços destinados à “alta produtividade”, não sendo levados em conta os aspectos culturais e sociais dos territórios.</w:t>
      </w:r>
    </w:p>
    <w:p w14:paraId="122A960D" w14:textId="598A6E13" w:rsidR="007B75BC" w:rsidRDefault="00000000">
      <w:pPr>
        <w:spacing w:line="360" w:lineRule="auto"/>
        <w:ind w:firstLine="720"/>
        <w:jc w:val="both"/>
        <w:rPr>
          <w:sz w:val="24"/>
          <w:szCs w:val="24"/>
        </w:rPr>
      </w:pPr>
      <w:r>
        <w:rPr>
          <w:sz w:val="24"/>
          <w:szCs w:val="24"/>
        </w:rPr>
        <w:t xml:space="preserve">Esses aspectos dialogam com os apontamentos realizados por Sousa </w:t>
      </w:r>
      <w:r w:rsidR="00CE216A">
        <w:rPr>
          <w:sz w:val="24"/>
          <w:szCs w:val="24"/>
        </w:rPr>
        <w:t>e Machado</w:t>
      </w:r>
      <w:r>
        <w:rPr>
          <w:sz w:val="24"/>
          <w:szCs w:val="24"/>
        </w:rPr>
        <w:t xml:space="preserve"> (2024, p.17) “a população rural mais pobre, com menor acesso à terra, é negra, o que revela que o acesso à terra no Brasil possui um forte marcador racial”, os autores demonstram que historicamente, a população negra no Brasil tem sido majoritariamente relegada às margens das oportunidades econômicas e sociais. </w:t>
      </w:r>
    </w:p>
    <w:p w14:paraId="06CB3596" w14:textId="77777777" w:rsidR="007B75BC" w:rsidRDefault="00000000">
      <w:pPr>
        <w:spacing w:after="200" w:line="360" w:lineRule="auto"/>
        <w:ind w:firstLine="720"/>
        <w:jc w:val="both"/>
        <w:rPr>
          <w:sz w:val="24"/>
          <w:szCs w:val="24"/>
        </w:rPr>
      </w:pPr>
      <w:r>
        <w:rPr>
          <w:sz w:val="24"/>
          <w:szCs w:val="24"/>
        </w:rPr>
        <w:t xml:space="preserve">Partindo dessa problemática, dados elaborados a partir de pesquisa realizada para o projeto de Dissertação de Mestrado revelam uma predominância significativa de pessoas negras na chefia de famílias no território analisado. Esta realidade foi constatada a partir da aplicação de 66 questionários respondidos por famílias assentadas no PA Vale da Esperança. Os resultados apontam que 67% dos entrevistados se autodeclaram pardos e 26% pretos, totalizando 93% de famílias chefiadas por pessoas negras, enquanto apenas 7,57% se autodeclaram brancos. Este dado revela que o processo de luta neste território foi empreendida por pessoas negras, ou seja, devemos ter em vista que estes são sujeitos </w:t>
      </w:r>
      <w:proofErr w:type="spellStart"/>
      <w:r>
        <w:rPr>
          <w:sz w:val="24"/>
          <w:szCs w:val="24"/>
        </w:rPr>
        <w:t>racializados</w:t>
      </w:r>
      <w:proofErr w:type="spellEnd"/>
      <w:r>
        <w:rPr>
          <w:sz w:val="24"/>
          <w:szCs w:val="24"/>
        </w:rPr>
        <w:t xml:space="preserve"> que só garantiram o mínimo de acesso à terra graças à pressão que fizeram sobre o Estado por meio do processo de ocupação de terras que não cumpriam sua função social. No entanto, as famílias seguem vivenciando as injustiças sociais e ambientais produzidas </w:t>
      </w:r>
      <w:r>
        <w:rPr>
          <w:sz w:val="24"/>
          <w:szCs w:val="24"/>
        </w:rPr>
        <w:lastRenderedPageBreak/>
        <w:t xml:space="preserve">por um sistema de desenvolvimento </w:t>
      </w:r>
      <w:r>
        <w:rPr>
          <w:sz w:val="24"/>
          <w:szCs w:val="24"/>
          <w:highlight w:val="white"/>
        </w:rPr>
        <w:t xml:space="preserve">que opera dentro de uma </w:t>
      </w:r>
      <w:r w:rsidRPr="00CE216A">
        <w:rPr>
          <w:sz w:val="24"/>
          <w:szCs w:val="24"/>
        </w:rPr>
        <w:t>lógica racis</w:t>
      </w:r>
      <w:r>
        <w:rPr>
          <w:sz w:val="24"/>
          <w:szCs w:val="24"/>
        </w:rPr>
        <w:t>ta, que com aval do Estado desconsideram os direitos das populações periféricas.</w:t>
      </w:r>
    </w:p>
    <w:p w14:paraId="3CD36C32" w14:textId="77777777" w:rsidR="007B75BC"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360" w:lineRule="auto"/>
        <w:jc w:val="both"/>
        <w:rPr>
          <w:b/>
          <w:sz w:val="24"/>
          <w:szCs w:val="24"/>
        </w:rPr>
      </w:pPr>
      <w:r>
        <w:rPr>
          <w:b/>
          <w:sz w:val="24"/>
          <w:szCs w:val="24"/>
        </w:rPr>
        <w:t>3</w:t>
      </w:r>
      <w:r>
        <w:rPr>
          <w:b/>
          <w:sz w:val="24"/>
          <w:szCs w:val="24"/>
        </w:rPr>
        <w:tab/>
        <w:t>PROJETO DE DESENVOLVIMENTO SUSTENTÁVEL: AS CONTRADIÇÕES DOS PLANOS DIRETORES DE ORDENAMENTO TERRITORIAL DE TERESINA</w:t>
      </w:r>
    </w:p>
    <w:p w14:paraId="15EA968E" w14:textId="0AE2EBC8" w:rsidR="007B75BC" w:rsidRDefault="00000000">
      <w:pPr>
        <w:spacing w:line="360" w:lineRule="auto"/>
        <w:ind w:firstLine="720"/>
        <w:jc w:val="both"/>
        <w:rPr>
          <w:sz w:val="24"/>
          <w:szCs w:val="24"/>
        </w:rPr>
      </w:pPr>
      <w:r>
        <w:rPr>
          <w:sz w:val="24"/>
          <w:szCs w:val="24"/>
        </w:rPr>
        <w:t xml:space="preserve">No ano de 2001 foi sancionada a Lei Federal nº 10.257, que estabelecia a obrigatoriedade da elaboração de um plano diretor participativo para os municípios com mais de 20 mil habitantes, até o ano de 2006. Foi diante deste cenário que o governo municipal de Teresina institui o PDOT/2006, atualizado em 2019 por meio da Lei Complementar nº 5.481, reforçando em seu discurso a necessidade de construção de </w:t>
      </w:r>
      <w:r w:rsidR="00CE216A">
        <w:rPr>
          <w:sz w:val="24"/>
          <w:szCs w:val="24"/>
        </w:rPr>
        <w:t>um desenvolvimento</w:t>
      </w:r>
      <w:r>
        <w:rPr>
          <w:sz w:val="24"/>
          <w:szCs w:val="24"/>
        </w:rPr>
        <w:t xml:space="preserve"> de uma Teresina sustentável na zona rural e urbana da cidade (Teresina, 2019). </w:t>
      </w:r>
    </w:p>
    <w:p w14:paraId="639E77A3" w14:textId="4625168F" w:rsidR="007B75BC" w:rsidRDefault="00CE216A">
      <w:pPr>
        <w:spacing w:line="360" w:lineRule="auto"/>
        <w:ind w:firstLine="720"/>
        <w:jc w:val="both"/>
        <w:rPr>
          <w:sz w:val="24"/>
          <w:szCs w:val="24"/>
        </w:rPr>
      </w:pPr>
      <w:r>
        <w:rPr>
          <w:sz w:val="24"/>
          <w:szCs w:val="24"/>
        </w:rPr>
        <w:t>Ambos os documentos</w:t>
      </w:r>
      <w:r w:rsidR="00000000">
        <w:rPr>
          <w:sz w:val="24"/>
          <w:szCs w:val="24"/>
        </w:rPr>
        <w:t xml:space="preserve"> apresentam a busca e consolidação de um município economicamente ativo, bem como promover a melhoria nos aspectos sociais das famílias teresinenses. O PDOT/2006 aponta que agricultura de Teresina se apresentava de maneira arcaica, sem a utilização de maquinários, adubações, sem o uso de sementes melhoradas, e para sancionar esta problemática seria desenvolvido ações para tornar a zona rural consolidada e fortalecida a partir dos “[...] arranjos produtivos em avicultura, fruticultura, floricultura, ovinocaprinocultura, piscicultura, olericultura e apicultura” por meio do “estímulo ao espírito empreendedor de produtores, trabalhadores e empresários rurais” (Teresina, 2006). Neste ponto, o plano explicita o sujeito ao qual a política se destina, os empresários rurais, o que não contempla a maior porcentagem da população da zona rural de Teresina, que em sua maioria são pessoas negras e de baixa renda.</w:t>
      </w:r>
    </w:p>
    <w:p w14:paraId="51608EF1" w14:textId="77777777" w:rsidR="007B75BC" w:rsidRDefault="00000000">
      <w:pPr>
        <w:spacing w:line="360" w:lineRule="auto"/>
        <w:ind w:firstLine="720"/>
        <w:jc w:val="both"/>
        <w:rPr>
          <w:sz w:val="24"/>
          <w:szCs w:val="24"/>
        </w:rPr>
      </w:pPr>
      <w:r>
        <w:rPr>
          <w:sz w:val="24"/>
          <w:szCs w:val="24"/>
        </w:rPr>
        <w:t>Uma de suas diretrizes para o desenvolvimento rural trazia a criação de um programa para capacitar os “pequenos produtores para estimular a produção em condomínios de agronegócios”, além de possibilitar a ampliação da rede de energia elétrica</w:t>
      </w:r>
      <w:r>
        <w:rPr>
          <w:sz w:val="24"/>
          <w:szCs w:val="24"/>
          <w:highlight w:val="white"/>
        </w:rPr>
        <w:t xml:space="preserve"> “[...] priorizando áreas de grandes projetos e campos de produção[...]”</w:t>
      </w:r>
      <w:r>
        <w:rPr>
          <w:sz w:val="24"/>
          <w:szCs w:val="24"/>
        </w:rPr>
        <w:t xml:space="preserve"> (Teresina, 2006). Ou seja, o desenvolvimento previsto para a zona rural foi baseado </w:t>
      </w:r>
      <w:r>
        <w:rPr>
          <w:sz w:val="24"/>
          <w:szCs w:val="24"/>
        </w:rPr>
        <w:lastRenderedPageBreak/>
        <w:t xml:space="preserve">em uma modernização agrícola alheia à população, sendo apresentada como sinônimo de melhoria na economia, no entanto limitando os aspectos rurais apenas ao agrícola e favorecendo os grandes produtores rurais já existentes no perímetro. </w:t>
      </w:r>
    </w:p>
    <w:p w14:paraId="00588E85" w14:textId="77777777" w:rsidR="007B75BC" w:rsidRDefault="00000000">
      <w:pPr>
        <w:spacing w:line="360" w:lineRule="auto"/>
        <w:ind w:firstLine="720"/>
        <w:jc w:val="both"/>
        <w:rPr>
          <w:sz w:val="24"/>
          <w:szCs w:val="24"/>
        </w:rPr>
      </w:pPr>
      <w:r>
        <w:rPr>
          <w:sz w:val="24"/>
          <w:szCs w:val="24"/>
        </w:rPr>
        <w:t xml:space="preserve">Partindo para o PDOT/2019, que estará em vigência até o ano de 2030, a lei aponta no art. 34 algumas diretrizes sustentáveis para o desenvolvimento do território rural, </w:t>
      </w:r>
    </w:p>
    <w:p w14:paraId="6060250F" w14:textId="77777777" w:rsidR="007B75BC" w:rsidRDefault="00000000">
      <w:pPr>
        <w:spacing w:line="240" w:lineRule="auto"/>
        <w:ind w:left="2267"/>
        <w:jc w:val="both"/>
        <w:rPr>
          <w:sz w:val="20"/>
          <w:szCs w:val="20"/>
        </w:rPr>
      </w:pPr>
      <w:r>
        <w:rPr>
          <w:sz w:val="20"/>
          <w:szCs w:val="20"/>
        </w:rPr>
        <w:t xml:space="preserve">I - Melhorar o sistema de mobilidade da zona rural; [...] IV - Desenvolver política de geração de renda específica para os moradores / trabalhadores da zona rural; VI - Estimular as práticas de agricultura orgânica; VII - Desenvolver política de assistência técnica e social para os moradores / trabalhadores da zona rural; VIII - Avaliar o impacto da implantação do novo anel rodoviário, identificando potenciais de desenvolvimento local [...] (Teresina, 2019, p. 12). </w:t>
      </w:r>
    </w:p>
    <w:p w14:paraId="637A98C0" w14:textId="77777777" w:rsidR="007B75BC" w:rsidRDefault="007B75BC">
      <w:pPr>
        <w:spacing w:line="240" w:lineRule="auto"/>
        <w:ind w:left="2267"/>
        <w:jc w:val="both"/>
        <w:rPr>
          <w:sz w:val="20"/>
          <w:szCs w:val="20"/>
        </w:rPr>
      </w:pPr>
    </w:p>
    <w:p w14:paraId="7142DFFA" w14:textId="77777777" w:rsidR="007B75BC" w:rsidRDefault="00000000">
      <w:pPr>
        <w:spacing w:line="360" w:lineRule="auto"/>
        <w:ind w:firstLine="720"/>
        <w:jc w:val="both"/>
        <w:rPr>
          <w:sz w:val="24"/>
          <w:szCs w:val="24"/>
        </w:rPr>
      </w:pPr>
      <w:r>
        <w:rPr>
          <w:sz w:val="24"/>
          <w:szCs w:val="24"/>
        </w:rPr>
        <w:t xml:space="preserve">O projeto de desenvolvimento de uma “Teresina que queremos” </w:t>
      </w:r>
      <w:proofErr w:type="gramStart"/>
      <w:r>
        <w:rPr>
          <w:sz w:val="24"/>
          <w:szCs w:val="24"/>
        </w:rPr>
        <w:t>encontra-se</w:t>
      </w:r>
      <w:proofErr w:type="gramEnd"/>
      <w:r>
        <w:rPr>
          <w:sz w:val="24"/>
          <w:szCs w:val="24"/>
        </w:rPr>
        <w:t xml:space="preserve"> dissonante da “Teresina que temos”, aqui em destaque a área rural. A Partir da realidade do PA Vale da Esperança é possível identificar que o plano não foi desenvolvido levando em consideração as especificidades dos agricultores negros e pobres da região, aqui destacamos em primeiro momento a mobilidade proposta no PDOT/2019. Por meio da aplicação dos questionários foi possível identificar que 78% das famílias necessitam do transporte público, no entanto possui atualmente apenas 01 ônibus realizando uma única rota ao dia para a comunidade, o que dificulta a mobilidade das famílias. O poder municipal se mantém prevendo um desenvolvimento da área rural excluindo as especificidades e a heterogeneidade da população “[...] dando aos habitantes </w:t>
      </w:r>
      <w:proofErr w:type="gramStart"/>
      <w:r>
        <w:rPr>
          <w:sz w:val="24"/>
          <w:szCs w:val="24"/>
        </w:rPr>
        <w:t>do rural representação insatisfatória</w:t>
      </w:r>
      <w:proofErr w:type="gramEnd"/>
      <w:r>
        <w:rPr>
          <w:sz w:val="24"/>
          <w:szCs w:val="24"/>
        </w:rPr>
        <w:t xml:space="preserve"> na luta por direitos básicos de sobrevivência, abrangendo, também, a exclusão do seu modo de vida” (Nascimento; Viana, 2024, p. 319). </w:t>
      </w:r>
    </w:p>
    <w:p w14:paraId="2D977F0B" w14:textId="42950F5C" w:rsidR="007B75BC" w:rsidRDefault="00000000">
      <w:pPr>
        <w:spacing w:line="360" w:lineRule="auto"/>
        <w:ind w:firstLine="720"/>
        <w:jc w:val="both"/>
        <w:rPr>
          <w:sz w:val="24"/>
          <w:szCs w:val="24"/>
        </w:rPr>
      </w:pPr>
      <w:r>
        <w:rPr>
          <w:sz w:val="24"/>
          <w:szCs w:val="24"/>
        </w:rPr>
        <w:t xml:space="preserve"> Apesar de terem sido assentadas no ano de 2006, o processo de georreferenciamento dos lotes de produção das famílias ocorreu apenas no ano de 2017, após 11 anos da Imissão de Posse. A ação ocorreu por meio de um acordo entre o INCRA e o Governo do Estado do Piauí, com recursos provenientes de uma indenização referente a construção do Rodoanel de Teresina, que teve impacto ambiental direto na área do assentamento. Segundo Filho </w:t>
      </w:r>
      <w:r>
        <w:rPr>
          <w:i/>
          <w:sz w:val="24"/>
          <w:szCs w:val="24"/>
        </w:rPr>
        <w:t>et al., (2021)</w:t>
      </w:r>
      <w:r>
        <w:rPr>
          <w:sz w:val="24"/>
          <w:szCs w:val="24"/>
        </w:rPr>
        <w:t xml:space="preserve"> a construção </w:t>
      </w:r>
      <w:r>
        <w:rPr>
          <w:sz w:val="24"/>
          <w:szCs w:val="24"/>
        </w:rPr>
        <w:lastRenderedPageBreak/>
        <w:t xml:space="preserve">do empreendimento </w:t>
      </w:r>
      <w:r w:rsidR="00CE216A">
        <w:rPr>
          <w:sz w:val="24"/>
          <w:szCs w:val="24"/>
        </w:rPr>
        <w:t>acarretou</w:t>
      </w:r>
      <w:r>
        <w:rPr>
          <w:sz w:val="24"/>
          <w:szCs w:val="24"/>
        </w:rPr>
        <w:t xml:space="preserve"> um extenso desmatamento de mata nativa, invasão de terras pela construtora e destruição das nascentes de água em 03 assentamentos de Reforma Agrária, PA Vale da Esperança, PA Santana Nossa Esperança e PA Nossa Vitória, impactando diretamente a vida de </w:t>
      </w:r>
      <w:r>
        <w:rPr>
          <w:sz w:val="24"/>
          <w:szCs w:val="24"/>
          <w:highlight w:val="white"/>
        </w:rPr>
        <w:t>278 famílias.</w:t>
      </w:r>
    </w:p>
    <w:p w14:paraId="27F1A157" w14:textId="77777777" w:rsidR="007B75BC" w:rsidRDefault="00000000">
      <w:pPr>
        <w:spacing w:line="360" w:lineRule="auto"/>
        <w:ind w:firstLine="720"/>
        <w:jc w:val="both"/>
        <w:rPr>
          <w:sz w:val="24"/>
          <w:szCs w:val="24"/>
        </w:rPr>
      </w:pPr>
      <w:r>
        <w:rPr>
          <w:sz w:val="24"/>
          <w:szCs w:val="24"/>
        </w:rPr>
        <w:t>As famílias do PA Vale da Esperança tiveram seu território e seus direitos violadas em nome do desenvolvimento sustentável, uma vez que a criação do Rodoanel, estava prevista no PDOT/2019 como uma obra de desenvolvimento promissor para a área rural, no entanto teve como um de seus impactos a degradação de um açude localizado no território do assentamento, comprometendo os recursos hídricos e afetando o ecossistema local. A obra resultou na perda significativa da produção das vazantes onde os assentados utilizavam para produção de arroz e feijão, destinados para consumo e comercialização, além de danificar o ambiente que servia como a principal fonte de lazer para as famílias da região. Diferente do que menciona o art. 34 do PDOT, seus impactos até então não foram sancionados e nem mesmo avaliados pelo município, um forte exemplo do racismo ambiental na prática.</w:t>
      </w:r>
    </w:p>
    <w:p w14:paraId="7BC73FFF" w14:textId="77777777" w:rsidR="007B75BC" w:rsidRDefault="00000000">
      <w:pPr>
        <w:spacing w:line="360" w:lineRule="auto"/>
        <w:ind w:firstLine="720"/>
        <w:jc w:val="both"/>
        <w:rPr>
          <w:sz w:val="24"/>
          <w:szCs w:val="24"/>
        </w:rPr>
      </w:pPr>
      <w:r>
        <w:rPr>
          <w:sz w:val="24"/>
          <w:szCs w:val="24"/>
        </w:rPr>
        <w:t>Desse modo, Penna (2022), é categórica ao apontar o Estado, e suas instituições, como agentes de seletividade racial, consolidados na forma de políticas públicas, programas e projetos de desenvolvimento, que em grande medida, são pensadas dentro de uma lógica operada pela branquitude</w:t>
      </w:r>
      <w:r>
        <w:rPr>
          <w:sz w:val="24"/>
          <w:szCs w:val="24"/>
          <w:vertAlign w:val="superscript"/>
        </w:rPr>
        <w:footnoteReference w:id="5"/>
      </w:r>
      <w:r>
        <w:rPr>
          <w:sz w:val="24"/>
          <w:szCs w:val="24"/>
        </w:rPr>
        <w:t>,</w:t>
      </w:r>
      <w:r>
        <w:rPr>
          <w:color w:val="FF0000"/>
          <w:sz w:val="24"/>
          <w:szCs w:val="24"/>
        </w:rPr>
        <w:t xml:space="preserve"> </w:t>
      </w:r>
      <w:r>
        <w:rPr>
          <w:sz w:val="24"/>
          <w:szCs w:val="24"/>
        </w:rPr>
        <w:t>resultando em ações que</w:t>
      </w:r>
      <w:r>
        <w:rPr>
          <w:color w:val="FF0000"/>
          <w:sz w:val="24"/>
          <w:szCs w:val="24"/>
        </w:rPr>
        <w:t xml:space="preserve"> </w:t>
      </w:r>
      <w:r>
        <w:rPr>
          <w:sz w:val="24"/>
          <w:szCs w:val="24"/>
        </w:rPr>
        <w:t xml:space="preserve">não solucionam efetivamente as demandas de grupos não brancos. </w:t>
      </w:r>
    </w:p>
    <w:p w14:paraId="25EF1F16" w14:textId="7AE420E3" w:rsidR="007B75BC" w:rsidRDefault="00000000">
      <w:pPr>
        <w:spacing w:line="360" w:lineRule="auto"/>
        <w:ind w:firstLine="720"/>
        <w:jc w:val="both"/>
        <w:rPr>
          <w:sz w:val="24"/>
          <w:szCs w:val="24"/>
        </w:rPr>
      </w:pPr>
      <w:r>
        <w:rPr>
          <w:sz w:val="24"/>
          <w:szCs w:val="24"/>
        </w:rPr>
        <w:t xml:space="preserve">Vale destacar que apesar das barreiras estabelecidas para as famílias assentadas, estas criam formas de existir e resistir no campo. A exemplo, mesmo diante da falta de acesso a crédito e de políticas que de fato atendam às necessidades das famílias, ainda em 2014, um grupo mulheres do PA Vale da Esperança criam uma horta comunitária de base agroecológica. No entanto, devido às dificuldades de escoamento da produção, tinham a comercialização com um </w:t>
      </w:r>
      <w:r w:rsidR="00CE216A">
        <w:rPr>
          <w:sz w:val="24"/>
          <w:szCs w:val="24"/>
        </w:rPr>
        <w:t>empecilho</w:t>
      </w:r>
      <w:r>
        <w:rPr>
          <w:sz w:val="24"/>
          <w:szCs w:val="24"/>
        </w:rPr>
        <w:t xml:space="preserve">. No entanto, mantendo a produção apesar dos desafios, em 2015 a horta passou a compor a </w:t>
      </w:r>
      <w:r>
        <w:rPr>
          <w:sz w:val="24"/>
          <w:szCs w:val="24"/>
        </w:rPr>
        <w:lastRenderedPageBreak/>
        <w:t>articulação para a produção agroecológica na capital, realizada pelo Grupo de Produção Orgânica de Teresina-GPOTE, uma iniciativa da sociedade civil por meio da participação de movimentos sociais do campo, mas composta também por instituições governamentais a nível municipal, estadual e federal, e por dez comunidades rurais de Teresina. Posteriormente, este trabalho inicial deu origem à Comissão Municipal de Agroecologia e Produção Orgânica-CMAPO (Silva, 2023).</w:t>
      </w:r>
    </w:p>
    <w:p w14:paraId="618855CC" w14:textId="77777777" w:rsidR="007B75BC" w:rsidRDefault="00000000">
      <w:pPr>
        <w:spacing w:line="360" w:lineRule="auto"/>
        <w:ind w:firstLine="720"/>
        <w:jc w:val="both"/>
        <w:rPr>
          <w:sz w:val="24"/>
          <w:szCs w:val="24"/>
        </w:rPr>
      </w:pPr>
      <w:r>
        <w:rPr>
          <w:sz w:val="24"/>
          <w:szCs w:val="24"/>
        </w:rPr>
        <w:t xml:space="preserve">O esforço coletivo possibilitou o avanço da produção local, de modo que em 2016 o grupo de mulheres passaram a participar das Feiras de Base Agroecológicas de Teresina e expandiram a produção e comercialização, o que passou a ter um impacto nos aspectos econômicos e sociais das famílias. </w:t>
      </w:r>
    </w:p>
    <w:p w14:paraId="465065E6" w14:textId="77777777" w:rsidR="007B75BC" w:rsidRDefault="00000000">
      <w:pPr>
        <w:spacing w:line="360" w:lineRule="auto"/>
        <w:ind w:firstLine="720"/>
        <w:jc w:val="both"/>
        <w:rPr>
          <w:sz w:val="24"/>
          <w:szCs w:val="24"/>
        </w:rPr>
      </w:pPr>
      <w:r>
        <w:rPr>
          <w:sz w:val="24"/>
          <w:szCs w:val="24"/>
        </w:rPr>
        <w:t>Mesmo diante das violações de direitos, às famílias assentadas têm construído estratégias próprias para garantir a sua reprodução social, isso se deve ao fato de que, “[...] o ‘novo desenvolvimento rural’ é constantemente perturbado pelas ruralidades negras, seja nas diferentes mobilizações [...] seja na insistência por seguir existindo, apesar das investidas para seu aniquilamento (Sousa; Machado, 2024, p.27).</w:t>
      </w:r>
    </w:p>
    <w:p w14:paraId="15620CE3" w14:textId="77777777" w:rsidR="007B75BC" w:rsidRDefault="00000000">
      <w:pPr>
        <w:spacing w:line="360" w:lineRule="auto"/>
        <w:ind w:firstLine="720"/>
        <w:jc w:val="both"/>
        <w:rPr>
          <w:sz w:val="24"/>
          <w:szCs w:val="24"/>
        </w:rPr>
      </w:pPr>
      <w:r>
        <w:rPr>
          <w:sz w:val="24"/>
          <w:szCs w:val="24"/>
        </w:rPr>
        <w:t xml:space="preserve">É relevante destacar que o PDOT 2019 elencou como diretrizes para práticas sustentáveis no meio rural de Teresina as políticas de geração de renda, assistência técnica, incentivo à agricultura orgânica e o fortalecimento das feiras da produção rural na zona urbana, com ênfase na comercialização direta dos produtos agrícolas (Teresina, 2019). Tais proposições dialogam com os fundamentos da agroecologia praticados por famílias do PA Vale da Esperança, contudo, observa-se um processo sistemático de desmonte dessas iniciativas na cidade de Teresina, marcadas pelo cancelamento das feiras agroecológicas sob a alegação de restrições orçamentárias. </w:t>
      </w:r>
    </w:p>
    <w:p w14:paraId="6D951C41" w14:textId="77777777" w:rsidR="007B75BC" w:rsidRDefault="00000000">
      <w:pPr>
        <w:spacing w:after="200" w:line="360" w:lineRule="auto"/>
        <w:ind w:firstLine="720"/>
        <w:jc w:val="both"/>
        <w:rPr>
          <w:sz w:val="24"/>
          <w:szCs w:val="24"/>
        </w:rPr>
      </w:pPr>
      <w:r>
        <w:rPr>
          <w:sz w:val="24"/>
          <w:szCs w:val="24"/>
        </w:rPr>
        <w:t>Em relação à assistência técnica, esta ação permanece alheia às famílias, desta forma, as agricultoras seguem construindo mecanismos internos para dar continuidade às produções. Essa medida revela não apenas a fragilidade do compromisso institucional com a população rural, mas também reproduz dinâmicas históricas de marginalização da população não branca.</w:t>
      </w:r>
    </w:p>
    <w:p w14:paraId="0C69E7DF" w14:textId="77777777" w:rsidR="007B75BC" w:rsidRDefault="00000000">
      <w:pPr>
        <w:spacing w:after="200" w:line="360" w:lineRule="auto"/>
        <w:jc w:val="both"/>
        <w:rPr>
          <w:b/>
          <w:sz w:val="24"/>
          <w:szCs w:val="24"/>
        </w:rPr>
      </w:pPr>
      <w:r>
        <w:rPr>
          <w:b/>
          <w:sz w:val="24"/>
          <w:szCs w:val="24"/>
        </w:rPr>
        <w:lastRenderedPageBreak/>
        <w:t>4</w:t>
      </w:r>
      <w:r>
        <w:rPr>
          <w:b/>
          <w:sz w:val="24"/>
          <w:szCs w:val="24"/>
        </w:rPr>
        <w:tab/>
        <w:t>CONCLUSÃO</w:t>
      </w:r>
    </w:p>
    <w:p w14:paraId="55F10C09" w14:textId="369B3563" w:rsidR="007B75BC" w:rsidRDefault="00000000">
      <w:pPr>
        <w:spacing w:line="360" w:lineRule="auto"/>
        <w:ind w:firstLine="720"/>
        <w:jc w:val="both"/>
        <w:rPr>
          <w:sz w:val="24"/>
          <w:szCs w:val="24"/>
        </w:rPr>
      </w:pPr>
      <w:r>
        <w:rPr>
          <w:sz w:val="24"/>
          <w:szCs w:val="24"/>
        </w:rPr>
        <w:t>Sousa e Machado (2024</w:t>
      </w:r>
      <w:r w:rsidR="00CE216A">
        <w:rPr>
          <w:sz w:val="24"/>
          <w:szCs w:val="24"/>
        </w:rPr>
        <w:t>), apresentam</w:t>
      </w:r>
      <w:r>
        <w:rPr>
          <w:sz w:val="24"/>
          <w:szCs w:val="24"/>
        </w:rPr>
        <w:t xml:space="preserve"> que historicamente a população negra possui um</w:t>
      </w:r>
      <w:r w:rsidR="00CE216A">
        <w:rPr>
          <w:sz w:val="24"/>
          <w:szCs w:val="24"/>
        </w:rPr>
        <w:t xml:space="preserve"> </w:t>
      </w:r>
      <w:r>
        <w:rPr>
          <w:sz w:val="24"/>
          <w:szCs w:val="24"/>
        </w:rPr>
        <w:t>acesso restrito às políticas públicas que garantam suas reproduções no campo, o que promove uma política antinegra, uma vez que o Estado como agente ativo na manutenção do status quo beneficia formas de desenvolvimento considerados promissores e estagnam aqueles considerados fracassados em relação ao modelo de desenvolvimento.</w:t>
      </w:r>
    </w:p>
    <w:p w14:paraId="1B678DB0" w14:textId="11825CE4" w:rsidR="007B75BC" w:rsidRDefault="00000000">
      <w:pPr>
        <w:spacing w:line="360" w:lineRule="auto"/>
        <w:ind w:firstLine="720"/>
        <w:jc w:val="both"/>
        <w:rPr>
          <w:sz w:val="24"/>
          <w:szCs w:val="24"/>
        </w:rPr>
      </w:pPr>
      <w:r>
        <w:rPr>
          <w:sz w:val="24"/>
          <w:szCs w:val="24"/>
        </w:rPr>
        <w:t xml:space="preserve">Mesmo diante de um Plano Diretor que contempla a Zona Rural de Teresina, a forma como a política opera vem evidenciando uma segregação racial que marginaliza a população do campo. A partir da análise dos Planos de Desenvolvimento Sustentável, é possível identificar a presença de </w:t>
      </w:r>
      <w:r w:rsidR="00CE216A">
        <w:rPr>
          <w:sz w:val="24"/>
          <w:szCs w:val="24"/>
        </w:rPr>
        <w:t>um racismo estrutural</w:t>
      </w:r>
      <w:r>
        <w:rPr>
          <w:sz w:val="24"/>
          <w:szCs w:val="24"/>
        </w:rPr>
        <w:t xml:space="preserve">, que se manifesta tanto na dimensão fundiária quanto na ambiental, configurando duas expressões interligadas dentro de um mesmo processo de exclusão. Além disso, os aspectos da sustentabilidade, amplamente anunciados nos documentos oficiais, contrastam com a prática vivenciada pelas famílias.  </w:t>
      </w:r>
    </w:p>
    <w:p w14:paraId="6EB3594C" w14:textId="77777777" w:rsidR="007B75BC" w:rsidRDefault="00000000">
      <w:pPr>
        <w:spacing w:after="200" w:line="360" w:lineRule="auto"/>
        <w:ind w:firstLine="720"/>
        <w:jc w:val="both"/>
        <w:rPr>
          <w:sz w:val="24"/>
          <w:szCs w:val="24"/>
        </w:rPr>
      </w:pPr>
      <w:r>
        <w:rPr>
          <w:sz w:val="24"/>
          <w:szCs w:val="24"/>
        </w:rPr>
        <w:t xml:space="preserve">No entanto, as experiências organizativas das famílias assentadas, em especial das mulheres negras, reafirmam que os territórios rurais são também espaços de resistência e criação de alternativas à lógica hegemônica do capital. As iniciativas de base agroecológica, além de uma saída econômica, é uma prática política dos sujeitos, o que fortalece a reprodução das famílias em seus territórios e impulsionam a necessidade de reconhecimento da justiça social e ambiental.  </w:t>
      </w:r>
    </w:p>
    <w:p w14:paraId="7175B9EF" w14:textId="77777777" w:rsidR="007B75BC" w:rsidRDefault="00000000">
      <w:pPr>
        <w:spacing w:after="200" w:line="360" w:lineRule="auto"/>
        <w:rPr>
          <w:sz w:val="24"/>
          <w:szCs w:val="24"/>
        </w:rPr>
      </w:pPr>
      <w:r>
        <w:rPr>
          <w:b/>
          <w:sz w:val="24"/>
          <w:szCs w:val="24"/>
        </w:rPr>
        <w:t xml:space="preserve">REFERÊNCIAS </w:t>
      </w:r>
    </w:p>
    <w:p w14:paraId="4C6AF372" w14:textId="77777777" w:rsidR="007B75BC" w:rsidRDefault="00000000">
      <w:pPr>
        <w:spacing w:line="240" w:lineRule="auto"/>
        <w:rPr>
          <w:sz w:val="24"/>
          <w:szCs w:val="24"/>
        </w:rPr>
      </w:pPr>
      <w:r>
        <w:rPr>
          <w:sz w:val="24"/>
          <w:szCs w:val="24"/>
        </w:rPr>
        <w:t>BENTO, Cida.</w:t>
      </w:r>
      <w:r>
        <w:rPr>
          <w:b/>
          <w:sz w:val="24"/>
          <w:szCs w:val="24"/>
        </w:rPr>
        <w:t xml:space="preserve"> O pacto da branquitude</w:t>
      </w:r>
      <w:r>
        <w:rPr>
          <w:sz w:val="24"/>
          <w:szCs w:val="24"/>
        </w:rPr>
        <w:t xml:space="preserve">. São Paulo: Companhia das Letras, 2022. </w:t>
      </w:r>
    </w:p>
    <w:p w14:paraId="3E0A2C5D" w14:textId="77777777" w:rsidR="007B75BC" w:rsidRDefault="00000000">
      <w:pPr>
        <w:spacing w:before="240" w:after="240" w:line="240" w:lineRule="auto"/>
        <w:rPr>
          <w:sz w:val="24"/>
          <w:szCs w:val="24"/>
        </w:rPr>
      </w:pPr>
      <w:r>
        <w:rPr>
          <w:sz w:val="24"/>
          <w:szCs w:val="24"/>
        </w:rPr>
        <w:t xml:space="preserve">BRASIL. Instituto de Colonização e Reforma Agrária – INCRA. Relatório de Análise de Mercado de Terras do Estado do Piauí – RAMT/PI. 2020. </w:t>
      </w:r>
    </w:p>
    <w:p w14:paraId="2754BE5C" w14:textId="77777777" w:rsidR="007B75BC" w:rsidRDefault="00000000">
      <w:pPr>
        <w:spacing w:before="240" w:after="240" w:line="240" w:lineRule="auto"/>
        <w:rPr>
          <w:sz w:val="24"/>
          <w:szCs w:val="24"/>
        </w:rPr>
      </w:pPr>
      <w:r>
        <w:rPr>
          <w:sz w:val="24"/>
          <w:szCs w:val="24"/>
        </w:rPr>
        <w:t xml:space="preserve">BRASIL. INCRA. Resumo das atividades do INCRA–1995/2021. </w:t>
      </w:r>
    </w:p>
    <w:p w14:paraId="79178957" w14:textId="77777777" w:rsidR="007B75BC" w:rsidRDefault="00000000">
      <w:pPr>
        <w:spacing w:line="240" w:lineRule="auto"/>
        <w:rPr>
          <w:sz w:val="24"/>
          <w:szCs w:val="24"/>
        </w:rPr>
      </w:pPr>
      <w:r>
        <w:rPr>
          <w:sz w:val="24"/>
          <w:szCs w:val="24"/>
        </w:rPr>
        <w:lastRenderedPageBreak/>
        <w:t xml:space="preserve">FURTADO, Celso. </w:t>
      </w:r>
      <w:r>
        <w:rPr>
          <w:b/>
          <w:sz w:val="24"/>
          <w:szCs w:val="24"/>
        </w:rPr>
        <w:t>O mito do desenvolvimento econômico</w:t>
      </w:r>
      <w:r>
        <w:rPr>
          <w:sz w:val="24"/>
          <w:szCs w:val="24"/>
        </w:rPr>
        <w:t>. Rio de Janeiro: Paz e Terra. 1974.</w:t>
      </w:r>
    </w:p>
    <w:p w14:paraId="16FCB81B" w14:textId="77777777" w:rsidR="007B75BC"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before="240" w:line="240" w:lineRule="auto"/>
        <w:rPr>
          <w:sz w:val="24"/>
          <w:szCs w:val="24"/>
        </w:rPr>
      </w:pPr>
      <w:r>
        <w:rPr>
          <w:sz w:val="24"/>
          <w:szCs w:val="24"/>
        </w:rPr>
        <w:t xml:space="preserve">NASCIMENTO, L. P. O. S; VIANA, M. R. À Espera da Expansão Urbana: O Território Rural nas Normativas Municipais de Teresina. </w:t>
      </w:r>
      <w:r>
        <w:rPr>
          <w:b/>
          <w:sz w:val="24"/>
          <w:szCs w:val="24"/>
        </w:rPr>
        <w:t>Rev. FSA</w:t>
      </w:r>
      <w:r>
        <w:rPr>
          <w:sz w:val="24"/>
          <w:szCs w:val="24"/>
        </w:rPr>
        <w:t>, Teresina, v.19, n. 8, art. 17, p. 351-375, ago. 2022.</w:t>
      </w:r>
    </w:p>
    <w:p w14:paraId="782FB40E" w14:textId="77777777" w:rsidR="007B75BC"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before="240" w:after="200" w:line="240" w:lineRule="auto"/>
        <w:rPr>
          <w:sz w:val="24"/>
          <w:szCs w:val="24"/>
        </w:rPr>
      </w:pPr>
      <w:r>
        <w:rPr>
          <w:sz w:val="24"/>
          <w:szCs w:val="24"/>
        </w:rPr>
        <w:t>PENNA, Camila.</w:t>
      </w:r>
      <w:r>
        <w:rPr>
          <w:b/>
          <w:sz w:val="24"/>
          <w:szCs w:val="24"/>
        </w:rPr>
        <w:t xml:space="preserve"> Acesso à terra no Brasil e seletividade racial do Estado</w:t>
      </w:r>
      <w:r>
        <w:rPr>
          <w:sz w:val="24"/>
          <w:szCs w:val="24"/>
        </w:rPr>
        <w:t>. Porto Alegre: Sopas, Ibirapitanga, 2023. (Série Futuros Alimentares Sustentáveis).</w:t>
      </w:r>
    </w:p>
    <w:p w14:paraId="591B6B87" w14:textId="77777777" w:rsidR="007B75BC" w:rsidRDefault="00000000">
      <w:pPr>
        <w:spacing w:after="200" w:line="240" w:lineRule="auto"/>
        <w:rPr>
          <w:sz w:val="24"/>
          <w:szCs w:val="24"/>
        </w:rPr>
      </w:pPr>
      <w:r>
        <w:rPr>
          <w:sz w:val="24"/>
          <w:szCs w:val="24"/>
        </w:rPr>
        <w:t xml:space="preserve">PENNA, Camila. O agro é branco? Seletividade racial e política fundiária no Brasil. </w:t>
      </w:r>
      <w:r>
        <w:rPr>
          <w:b/>
          <w:sz w:val="24"/>
          <w:szCs w:val="24"/>
        </w:rPr>
        <w:t xml:space="preserve">Revista Estudos Sociedade e Agricultura. </w:t>
      </w:r>
      <w:r>
        <w:rPr>
          <w:sz w:val="24"/>
          <w:szCs w:val="24"/>
        </w:rPr>
        <w:t>V 30, n. 2. 2022</w:t>
      </w:r>
    </w:p>
    <w:p w14:paraId="0BF9105C" w14:textId="77777777" w:rsidR="007B75BC"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before="240" w:after="200" w:line="240" w:lineRule="auto"/>
        <w:rPr>
          <w:sz w:val="24"/>
          <w:szCs w:val="24"/>
        </w:rPr>
      </w:pPr>
      <w:r>
        <w:rPr>
          <w:sz w:val="24"/>
          <w:szCs w:val="24"/>
        </w:rPr>
        <w:t xml:space="preserve">RODNEY, Walter. </w:t>
      </w:r>
      <w:r>
        <w:rPr>
          <w:b/>
          <w:sz w:val="24"/>
          <w:szCs w:val="24"/>
        </w:rPr>
        <w:t xml:space="preserve">Como a Europa </w:t>
      </w:r>
      <w:proofErr w:type="spellStart"/>
      <w:r>
        <w:rPr>
          <w:b/>
          <w:sz w:val="24"/>
          <w:szCs w:val="24"/>
        </w:rPr>
        <w:t>subdesenvolveu</w:t>
      </w:r>
      <w:proofErr w:type="spellEnd"/>
      <w:r>
        <w:rPr>
          <w:b/>
          <w:sz w:val="24"/>
          <w:szCs w:val="24"/>
        </w:rPr>
        <w:t xml:space="preserve"> a África</w:t>
      </w:r>
      <w:r>
        <w:rPr>
          <w:sz w:val="24"/>
          <w:szCs w:val="24"/>
        </w:rPr>
        <w:t xml:space="preserve">. Tradução de </w:t>
      </w:r>
      <w:proofErr w:type="spellStart"/>
      <w:r>
        <w:rPr>
          <w:sz w:val="24"/>
          <w:szCs w:val="24"/>
        </w:rPr>
        <w:t>Heci</w:t>
      </w:r>
      <w:proofErr w:type="spellEnd"/>
      <w:r>
        <w:rPr>
          <w:sz w:val="24"/>
          <w:szCs w:val="24"/>
        </w:rPr>
        <w:t xml:space="preserve"> Regina </w:t>
      </w:r>
      <w:proofErr w:type="spellStart"/>
      <w:r>
        <w:rPr>
          <w:sz w:val="24"/>
          <w:szCs w:val="24"/>
        </w:rPr>
        <w:t>Candiani</w:t>
      </w:r>
      <w:proofErr w:type="spellEnd"/>
      <w:r>
        <w:rPr>
          <w:sz w:val="24"/>
          <w:szCs w:val="24"/>
        </w:rPr>
        <w:t xml:space="preserve">. São Paulo: Boitempo, 2022. </w:t>
      </w:r>
    </w:p>
    <w:p w14:paraId="6CF545A1" w14:textId="77777777" w:rsidR="007B75BC" w:rsidRDefault="00000000">
      <w:pPr>
        <w:spacing w:line="240" w:lineRule="auto"/>
        <w:rPr>
          <w:sz w:val="24"/>
          <w:szCs w:val="24"/>
        </w:rPr>
      </w:pPr>
      <w:r>
        <w:rPr>
          <w:sz w:val="24"/>
          <w:szCs w:val="24"/>
        </w:rPr>
        <w:t xml:space="preserve">SILVA, Valéria; CARNEIRO, Cristiane; CALADO, Camila e LUZ, Lila. </w:t>
      </w:r>
      <w:r>
        <w:rPr>
          <w:b/>
          <w:sz w:val="24"/>
          <w:szCs w:val="24"/>
        </w:rPr>
        <w:t>AGROECOLOGIA NO PIAUÍ: Trilhas e tramas para o bem viver</w:t>
      </w:r>
      <w:r>
        <w:rPr>
          <w:sz w:val="24"/>
          <w:szCs w:val="24"/>
        </w:rPr>
        <w:t>. 1ed.Teresina: Lamparina Editora, 2023.</w:t>
      </w:r>
    </w:p>
    <w:p w14:paraId="187D11C6" w14:textId="77777777" w:rsidR="007B75BC"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before="240" w:after="200" w:line="240" w:lineRule="auto"/>
        <w:rPr>
          <w:sz w:val="24"/>
          <w:szCs w:val="24"/>
        </w:rPr>
      </w:pPr>
      <w:r>
        <w:rPr>
          <w:sz w:val="24"/>
          <w:szCs w:val="24"/>
        </w:rPr>
        <w:t xml:space="preserve">SOUSA, Igor Thiago Silva de; MACHADO, Dayana Cristina </w:t>
      </w:r>
      <w:proofErr w:type="spellStart"/>
      <w:r>
        <w:rPr>
          <w:sz w:val="24"/>
          <w:szCs w:val="24"/>
        </w:rPr>
        <w:t>Mezzonato</w:t>
      </w:r>
      <w:proofErr w:type="spellEnd"/>
      <w:r>
        <w:rPr>
          <w:sz w:val="24"/>
          <w:szCs w:val="24"/>
        </w:rPr>
        <w:t xml:space="preserve">. </w:t>
      </w:r>
      <w:proofErr w:type="spellStart"/>
      <w:r>
        <w:rPr>
          <w:b/>
          <w:sz w:val="24"/>
          <w:szCs w:val="24"/>
        </w:rPr>
        <w:t>Antinegritude</w:t>
      </w:r>
      <w:proofErr w:type="spellEnd"/>
      <w:r>
        <w:rPr>
          <w:b/>
          <w:sz w:val="24"/>
          <w:szCs w:val="24"/>
        </w:rPr>
        <w:t xml:space="preserve"> e ruralidades: uma análise da construção da categoria agricultura familiar no Brasil.</w:t>
      </w:r>
      <w:r>
        <w:rPr>
          <w:sz w:val="24"/>
          <w:szCs w:val="24"/>
        </w:rPr>
        <w:t xml:space="preserve"> São Paulo. </w:t>
      </w:r>
      <w:proofErr w:type="spellStart"/>
      <w:r>
        <w:rPr>
          <w:sz w:val="24"/>
          <w:szCs w:val="24"/>
        </w:rPr>
        <w:t>Ruris</w:t>
      </w:r>
      <w:proofErr w:type="spellEnd"/>
      <w:r>
        <w:rPr>
          <w:sz w:val="24"/>
          <w:szCs w:val="24"/>
        </w:rPr>
        <w:t>, v. 16, n. 01, p. 06-35, 2024.</w:t>
      </w:r>
    </w:p>
    <w:p w14:paraId="111F9C25" w14:textId="77777777" w:rsidR="007B75BC" w:rsidRDefault="00000000">
      <w:pPr>
        <w:spacing w:after="200" w:line="240" w:lineRule="auto"/>
        <w:rPr>
          <w:sz w:val="24"/>
          <w:szCs w:val="24"/>
        </w:rPr>
      </w:pPr>
      <w:r>
        <w:rPr>
          <w:sz w:val="24"/>
          <w:szCs w:val="24"/>
        </w:rPr>
        <w:t xml:space="preserve">TERESINA. Prefeitura Municipal. Plano Diretor de Ordenamento Territorial – PDOT. Lei n° 3.558. 2006. </w:t>
      </w:r>
    </w:p>
    <w:p w14:paraId="04B5E84C" w14:textId="77777777" w:rsidR="007B75BC" w:rsidRDefault="00000000">
      <w:pPr>
        <w:spacing w:after="200" w:line="240" w:lineRule="auto"/>
        <w:rPr>
          <w:sz w:val="24"/>
          <w:szCs w:val="24"/>
        </w:rPr>
      </w:pPr>
      <w:r>
        <w:rPr>
          <w:sz w:val="24"/>
          <w:szCs w:val="24"/>
        </w:rPr>
        <w:t xml:space="preserve">TERESINA. Prefeitura Municipal. Plano Diretor de Ordenamento Territorial – PDOT. Lei nº 5.481. Teresina: PMT, 2019. </w:t>
      </w:r>
    </w:p>
    <w:p w14:paraId="519D6F92" w14:textId="77777777" w:rsidR="007B75BC" w:rsidRDefault="00000000">
      <w:pPr>
        <w:spacing w:after="200" w:line="240" w:lineRule="auto"/>
        <w:rPr>
          <w:sz w:val="24"/>
          <w:szCs w:val="24"/>
        </w:rPr>
      </w:pPr>
      <w:r>
        <w:rPr>
          <w:sz w:val="24"/>
          <w:szCs w:val="24"/>
        </w:rPr>
        <w:t xml:space="preserve">TERESINA. Prefeitura Municipal. Teresina: panorama municipal/junho 2020. </w:t>
      </w:r>
      <w:proofErr w:type="spellStart"/>
      <w:r>
        <w:rPr>
          <w:sz w:val="24"/>
          <w:szCs w:val="24"/>
        </w:rPr>
        <w:t>Semplan</w:t>
      </w:r>
      <w:proofErr w:type="spellEnd"/>
      <w:r>
        <w:rPr>
          <w:sz w:val="24"/>
          <w:szCs w:val="24"/>
        </w:rPr>
        <w:t xml:space="preserve">. Secretaria Municipal de Planejamento e Coordenação. 2020. </w:t>
      </w:r>
    </w:p>
    <w:p w14:paraId="1FCE0437" w14:textId="77777777" w:rsidR="007B75BC" w:rsidRDefault="00000000">
      <w:pPr>
        <w:pBdr>
          <w:top w:val="nil"/>
          <w:left w:val="nil"/>
          <w:bottom w:val="nil"/>
          <w:right w:val="nil"/>
          <w:between w:val="nil"/>
        </w:pBdr>
        <w:spacing w:after="200" w:line="240" w:lineRule="auto"/>
        <w:rPr>
          <w:sz w:val="24"/>
          <w:szCs w:val="24"/>
        </w:rPr>
      </w:pPr>
      <w:r>
        <w:rPr>
          <w:sz w:val="24"/>
          <w:szCs w:val="24"/>
        </w:rPr>
        <w:t xml:space="preserve">HERCULANO, Selene. O clamor por justiça ambiental e contra o racismo ambiental. in: </w:t>
      </w:r>
      <w:r>
        <w:rPr>
          <w:b/>
          <w:sz w:val="24"/>
          <w:szCs w:val="24"/>
        </w:rPr>
        <w:t>INTERFACEHS – Revista de Gestão Integrada em Saúde do Trabalho e Meio Ambiente</w:t>
      </w:r>
      <w:r>
        <w:rPr>
          <w:sz w:val="24"/>
          <w:szCs w:val="24"/>
        </w:rPr>
        <w:t xml:space="preserve">. v.3, n.1, 2008.  </w:t>
      </w:r>
    </w:p>
    <w:p w14:paraId="3D847318" w14:textId="77777777" w:rsidR="007B75BC" w:rsidRDefault="00000000">
      <w:pPr>
        <w:pBdr>
          <w:top w:val="nil"/>
          <w:left w:val="nil"/>
          <w:bottom w:val="nil"/>
          <w:right w:val="nil"/>
          <w:between w:val="nil"/>
        </w:pBdr>
        <w:spacing w:after="200" w:line="240" w:lineRule="auto"/>
        <w:rPr>
          <w:sz w:val="30"/>
          <w:szCs w:val="30"/>
          <w:highlight w:val="white"/>
        </w:rPr>
      </w:pPr>
      <w:r>
        <w:rPr>
          <w:sz w:val="24"/>
          <w:szCs w:val="24"/>
          <w:highlight w:val="white"/>
        </w:rPr>
        <w:t xml:space="preserve">FILHO, José Maria Marques de Melo; ESPINDOLA, Giovana Mira de; FAÇANHA, </w:t>
      </w:r>
      <w:proofErr w:type="spellStart"/>
      <w:r>
        <w:rPr>
          <w:sz w:val="24"/>
          <w:szCs w:val="24"/>
          <w:highlight w:val="white"/>
        </w:rPr>
        <w:t>Antonio</w:t>
      </w:r>
      <w:proofErr w:type="spellEnd"/>
      <w:r>
        <w:rPr>
          <w:sz w:val="24"/>
          <w:szCs w:val="24"/>
          <w:highlight w:val="white"/>
        </w:rPr>
        <w:t xml:space="preserve"> Cardoso Façanha. Impactos Ambientais Decorrentes da Instalação do Rodoanel na Zona Periurbana de Teresina- PI. </w:t>
      </w:r>
      <w:r>
        <w:rPr>
          <w:b/>
          <w:sz w:val="24"/>
          <w:szCs w:val="24"/>
          <w:highlight w:val="white"/>
        </w:rPr>
        <w:t xml:space="preserve">Revista gestão e </w:t>
      </w:r>
      <w:proofErr w:type="gramStart"/>
      <w:r>
        <w:rPr>
          <w:b/>
          <w:sz w:val="24"/>
          <w:szCs w:val="24"/>
          <w:highlight w:val="white"/>
        </w:rPr>
        <w:t>sustentabilidade  ambiental</w:t>
      </w:r>
      <w:proofErr w:type="gramEnd"/>
      <w:r>
        <w:rPr>
          <w:b/>
          <w:sz w:val="24"/>
          <w:szCs w:val="24"/>
          <w:highlight w:val="white"/>
        </w:rPr>
        <w:t>.</w:t>
      </w:r>
      <w:r>
        <w:rPr>
          <w:sz w:val="24"/>
          <w:szCs w:val="24"/>
          <w:highlight w:val="white"/>
        </w:rPr>
        <w:t xml:space="preserve"> Florianópolis, v. 10, n. 2, p. 45-64, jun. 2021</w:t>
      </w:r>
    </w:p>
    <w:sectPr w:rsidR="007B75BC">
      <w:headerReference w:type="default" r:id="rId6"/>
      <w:footerReference w:type="default" r:id="rId7"/>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D1DC0" w14:textId="77777777" w:rsidR="00B45475" w:rsidRDefault="00B45475">
      <w:pPr>
        <w:spacing w:line="240" w:lineRule="auto"/>
      </w:pPr>
      <w:r>
        <w:separator/>
      </w:r>
    </w:p>
  </w:endnote>
  <w:endnote w:type="continuationSeparator" w:id="0">
    <w:p w14:paraId="12F4B3F3" w14:textId="77777777" w:rsidR="00B45475" w:rsidRDefault="00B454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DA6E1" w14:textId="77777777" w:rsidR="007B75BC" w:rsidRDefault="007B75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E72AC" w14:textId="77777777" w:rsidR="00B45475" w:rsidRDefault="00B45475">
      <w:pPr>
        <w:spacing w:line="240" w:lineRule="auto"/>
      </w:pPr>
      <w:r>
        <w:separator/>
      </w:r>
    </w:p>
  </w:footnote>
  <w:footnote w:type="continuationSeparator" w:id="0">
    <w:p w14:paraId="2F412C79" w14:textId="77777777" w:rsidR="00B45475" w:rsidRDefault="00B45475">
      <w:pPr>
        <w:spacing w:line="240" w:lineRule="auto"/>
      </w:pPr>
      <w:r>
        <w:continuationSeparator/>
      </w:r>
    </w:p>
  </w:footnote>
  <w:footnote w:id="1">
    <w:p w14:paraId="19586F23" w14:textId="77777777" w:rsidR="007B75BC" w:rsidRDefault="00000000">
      <w:pPr>
        <w:spacing w:line="240" w:lineRule="auto"/>
        <w:jc w:val="both"/>
        <w:rPr>
          <w:sz w:val="20"/>
          <w:szCs w:val="20"/>
        </w:rPr>
      </w:pPr>
      <w:r>
        <w:rPr>
          <w:vertAlign w:val="superscript"/>
        </w:rPr>
        <w:footnoteRef/>
      </w:r>
      <w:r>
        <w:rPr>
          <w:sz w:val="20"/>
          <w:szCs w:val="20"/>
        </w:rPr>
        <w:t xml:space="preserve"> Mestranda do Programa de Pós-graduação Interdisciplinar em Sociedade e Cultura da Universidade Estadual do Piauí (PPGSC-UESPI). Colaboradora do projeto de iniciação científica “Propriedade e Direito à Terra: Desapropriações de terra por interesse social no Piauí (1980-2010)” (UESPI). Graduada em Serviço Social pela Universidade Federal do Piauí (UFPI).</w:t>
      </w:r>
    </w:p>
  </w:footnote>
  <w:footnote w:id="2">
    <w:p w14:paraId="70AC44E3" w14:textId="77777777" w:rsidR="007B75BC" w:rsidRDefault="00000000">
      <w:pPr>
        <w:spacing w:line="240" w:lineRule="auto"/>
        <w:jc w:val="both"/>
        <w:rPr>
          <w:sz w:val="20"/>
          <w:szCs w:val="20"/>
        </w:rPr>
      </w:pPr>
      <w:r>
        <w:rPr>
          <w:vertAlign w:val="superscript"/>
        </w:rPr>
        <w:footnoteRef/>
      </w:r>
      <w:r>
        <w:rPr>
          <w:sz w:val="20"/>
          <w:szCs w:val="20"/>
        </w:rPr>
        <w:t xml:space="preserve"> Mestranda do PPGSC-UESPI). Intercambista na Bolívia pelo Programa Abdias Nascimento. Membro do Núcleo de Documentação e Estudos em História, Sociedade e Trabalho (NEHST). Graduada em História pela UESPI.</w:t>
      </w:r>
    </w:p>
  </w:footnote>
  <w:footnote w:id="3">
    <w:p w14:paraId="1BDBBAFE" w14:textId="77777777" w:rsidR="007B75BC" w:rsidRDefault="00000000">
      <w:pPr>
        <w:spacing w:line="240" w:lineRule="auto"/>
        <w:rPr>
          <w:sz w:val="20"/>
          <w:szCs w:val="20"/>
        </w:rPr>
      </w:pPr>
      <w:r>
        <w:rPr>
          <w:vertAlign w:val="superscript"/>
        </w:rPr>
        <w:footnoteRef/>
      </w:r>
      <w:r>
        <w:rPr>
          <w:sz w:val="20"/>
          <w:szCs w:val="20"/>
        </w:rPr>
        <w:t xml:space="preserve"> Doutora </w:t>
      </w:r>
      <w:r>
        <w:rPr>
          <w:sz w:val="20"/>
          <w:szCs w:val="20"/>
          <w:highlight w:val="white"/>
        </w:rPr>
        <w:t>em História Social pelo PPGH-UFF. Professora do Departamento de História da UESPI. Coordenadora do PPGSC-UESPI. Coordenadora do NEHST.</w:t>
      </w:r>
    </w:p>
  </w:footnote>
  <w:footnote w:id="4">
    <w:p w14:paraId="57A165EF" w14:textId="77777777" w:rsidR="007B75BC" w:rsidRDefault="00000000">
      <w:pPr>
        <w:spacing w:line="240" w:lineRule="auto"/>
        <w:jc w:val="both"/>
        <w:rPr>
          <w:sz w:val="20"/>
          <w:szCs w:val="20"/>
        </w:rPr>
      </w:pPr>
      <w:r>
        <w:rPr>
          <w:vertAlign w:val="superscript"/>
        </w:rPr>
        <w:footnoteRef/>
      </w:r>
      <w:r>
        <w:rPr>
          <w:sz w:val="20"/>
          <w:szCs w:val="20"/>
        </w:rPr>
        <w:t xml:space="preserve"> Doutor em Sociologia pela Universidade Federal do Rio Grande do Sul (UFRGS). Membro do MECILA – Maria </w:t>
      </w:r>
      <w:proofErr w:type="spellStart"/>
      <w:r>
        <w:rPr>
          <w:sz w:val="20"/>
          <w:szCs w:val="20"/>
        </w:rPr>
        <w:t>Sibylla</w:t>
      </w:r>
      <w:proofErr w:type="spellEnd"/>
      <w:r>
        <w:rPr>
          <w:sz w:val="20"/>
          <w:szCs w:val="20"/>
        </w:rPr>
        <w:t xml:space="preserve"> Merian Centre </w:t>
      </w:r>
      <w:proofErr w:type="spellStart"/>
      <w:r>
        <w:rPr>
          <w:sz w:val="20"/>
          <w:szCs w:val="20"/>
        </w:rPr>
        <w:t>Conviviality-Inequality</w:t>
      </w:r>
      <w:proofErr w:type="spellEnd"/>
      <w:r>
        <w:rPr>
          <w:sz w:val="20"/>
          <w:szCs w:val="20"/>
        </w:rPr>
        <w:t xml:space="preserve"> in </w:t>
      </w:r>
      <w:proofErr w:type="spellStart"/>
      <w:r>
        <w:rPr>
          <w:sz w:val="20"/>
          <w:szCs w:val="20"/>
        </w:rPr>
        <w:t>Latin</w:t>
      </w:r>
      <w:proofErr w:type="spellEnd"/>
      <w:r>
        <w:rPr>
          <w:sz w:val="20"/>
          <w:szCs w:val="20"/>
        </w:rPr>
        <w:t xml:space="preserve"> </w:t>
      </w:r>
      <w:proofErr w:type="spellStart"/>
      <w:r>
        <w:rPr>
          <w:sz w:val="20"/>
          <w:szCs w:val="20"/>
        </w:rPr>
        <w:t>America</w:t>
      </w:r>
      <w:proofErr w:type="spellEnd"/>
      <w:r>
        <w:rPr>
          <w:sz w:val="20"/>
          <w:szCs w:val="20"/>
        </w:rPr>
        <w:t>/Instituição internacional de estudos avançados em ciências humanas e sociais. Docente Colaborador do PPGSC-UESPI.</w:t>
      </w:r>
    </w:p>
    <w:p w14:paraId="65D05C7C" w14:textId="77777777" w:rsidR="007B75BC" w:rsidRDefault="007B75BC">
      <w:pPr>
        <w:spacing w:line="240" w:lineRule="auto"/>
        <w:rPr>
          <w:sz w:val="20"/>
          <w:szCs w:val="20"/>
        </w:rPr>
      </w:pPr>
    </w:p>
  </w:footnote>
  <w:footnote w:id="5">
    <w:p w14:paraId="0578F903" w14:textId="77777777" w:rsidR="007B75BC" w:rsidRDefault="00000000">
      <w:pPr>
        <w:spacing w:line="240" w:lineRule="auto"/>
        <w:jc w:val="both"/>
        <w:rPr>
          <w:sz w:val="20"/>
          <w:szCs w:val="20"/>
        </w:rPr>
      </w:pPr>
      <w:r>
        <w:rPr>
          <w:vertAlign w:val="superscript"/>
        </w:rPr>
        <w:footnoteRef/>
      </w:r>
      <w:r>
        <w:rPr>
          <w:sz w:val="20"/>
          <w:szCs w:val="20"/>
        </w:rPr>
        <w:t xml:space="preserve"> Essa categoria é pensada a partir do pensamento de Cida Bento (2022).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E80D9" w14:textId="77777777" w:rsidR="007B75BC" w:rsidRDefault="00000000">
    <w:r>
      <w:rPr>
        <w:noProof/>
      </w:rPr>
      <w:drawing>
        <wp:anchor distT="0" distB="0" distL="0" distR="0" simplePos="0" relativeHeight="251658240" behindDoc="1" locked="0" layoutInCell="1" hidden="0" allowOverlap="1" wp14:anchorId="6DC9BB8A" wp14:editId="6F2C80DC">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5BC"/>
    <w:rsid w:val="00181676"/>
    <w:rsid w:val="006A540E"/>
    <w:rsid w:val="007B75BC"/>
    <w:rsid w:val="00A148F5"/>
    <w:rsid w:val="00B45475"/>
    <w:rsid w:val="00CE216A"/>
    <w:rsid w:val="00F66F9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9CB8C"/>
  <w15:docId w15:val="{88212C5E-61DA-4E8F-BEEF-DA0AE7565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12</Pages>
  <Words>3866</Words>
  <Characters>20880</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Gleyson Willian</cp:lastModifiedBy>
  <cp:revision>20</cp:revision>
  <dcterms:created xsi:type="dcterms:W3CDTF">2025-07-06T21:59:00Z</dcterms:created>
  <dcterms:modified xsi:type="dcterms:W3CDTF">2025-07-06T22:09:00Z</dcterms:modified>
</cp:coreProperties>
</file>