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2F876" w14:textId="1E12B99D" w:rsidR="00D45D49" w:rsidRPr="006E6A51" w:rsidRDefault="00D35022">
      <w:pPr>
        <w:spacing w:line="360" w:lineRule="auto"/>
        <w:jc w:val="center"/>
        <w:rPr>
          <w:b/>
          <w:sz w:val="24"/>
          <w:szCs w:val="24"/>
        </w:rPr>
      </w:pPr>
      <w:r>
        <w:rPr>
          <w:b/>
          <w:sz w:val="24"/>
          <w:szCs w:val="24"/>
        </w:rPr>
        <w:t>A DISPUTA DE CLASSE NA FORMAÇÃO DO FUNDO PÚBLICO FEDERAL NO BIÊNIO 2023-2024</w:t>
      </w:r>
    </w:p>
    <w:p w14:paraId="72320B3C" w14:textId="16FECC69" w:rsidR="006E6A51" w:rsidRPr="006E6A51" w:rsidRDefault="006E6A51" w:rsidP="006E6A51">
      <w:pPr>
        <w:spacing w:line="240" w:lineRule="auto"/>
        <w:jc w:val="right"/>
        <w:rPr>
          <w:bCs/>
          <w:sz w:val="24"/>
          <w:szCs w:val="24"/>
        </w:rPr>
      </w:pPr>
      <w:r w:rsidRPr="006E6A51">
        <w:rPr>
          <w:bCs/>
          <w:sz w:val="24"/>
          <w:szCs w:val="24"/>
        </w:rPr>
        <w:t>Levi Borges Vieira</w:t>
      </w:r>
      <w:r>
        <w:rPr>
          <w:rStyle w:val="Refdenotaderodap"/>
          <w:bCs/>
          <w:sz w:val="24"/>
          <w:szCs w:val="24"/>
        </w:rPr>
        <w:footnoteReference w:id="2"/>
      </w:r>
    </w:p>
    <w:p w14:paraId="1AE969B8" w14:textId="63AA340D" w:rsidR="006E6A51" w:rsidRPr="006E6A51" w:rsidRDefault="006E6A51" w:rsidP="006E6A51">
      <w:pPr>
        <w:spacing w:line="240" w:lineRule="auto"/>
        <w:ind w:left="2835"/>
        <w:jc w:val="right"/>
        <w:rPr>
          <w:sz w:val="24"/>
          <w:szCs w:val="24"/>
        </w:rPr>
      </w:pPr>
      <w:r w:rsidRPr="006E6A51">
        <w:rPr>
          <w:sz w:val="24"/>
          <w:szCs w:val="24"/>
        </w:rPr>
        <w:t xml:space="preserve">Maria Eduarda Machado </w:t>
      </w:r>
      <w:proofErr w:type="spellStart"/>
      <w:r w:rsidRPr="006E6A51">
        <w:rPr>
          <w:sz w:val="24"/>
          <w:szCs w:val="24"/>
        </w:rPr>
        <w:t>Candeira</w:t>
      </w:r>
      <w:proofErr w:type="spellEnd"/>
      <w:r w:rsidRPr="006E6A51">
        <w:rPr>
          <w:sz w:val="24"/>
          <w:szCs w:val="24"/>
        </w:rPr>
        <w:t xml:space="preserve"> Oliveira</w:t>
      </w:r>
      <w:r>
        <w:rPr>
          <w:rStyle w:val="Refdenotaderodap"/>
          <w:sz w:val="24"/>
          <w:szCs w:val="24"/>
        </w:rPr>
        <w:footnoteReference w:id="3"/>
      </w:r>
    </w:p>
    <w:p w14:paraId="3F654943" w14:textId="4C03AC07" w:rsidR="006E6A51" w:rsidRPr="006E6A51" w:rsidRDefault="006E6A51" w:rsidP="006E6A51">
      <w:pPr>
        <w:spacing w:line="240" w:lineRule="auto"/>
        <w:ind w:left="2835"/>
        <w:jc w:val="right"/>
        <w:rPr>
          <w:sz w:val="24"/>
          <w:szCs w:val="24"/>
        </w:rPr>
      </w:pPr>
      <w:r w:rsidRPr="006E6A51">
        <w:rPr>
          <w:sz w:val="24"/>
          <w:szCs w:val="24"/>
        </w:rPr>
        <w:t>Osmar Gomes de Alencar Júnior</w:t>
      </w:r>
      <w:r w:rsidR="000A3879">
        <w:rPr>
          <w:rStyle w:val="Refdenotaderodap"/>
          <w:sz w:val="24"/>
          <w:szCs w:val="24"/>
        </w:rPr>
        <w:footnoteReference w:id="4"/>
      </w:r>
    </w:p>
    <w:p w14:paraId="3E2F1274" w14:textId="7AEF1185" w:rsidR="006E6A51" w:rsidRPr="006E6A51" w:rsidRDefault="006E6A51" w:rsidP="006E6A51">
      <w:pPr>
        <w:spacing w:line="240" w:lineRule="auto"/>
        <w:ind w:left="2835"/>
        <w:jc w:val="right"/>
        <w:rPr>
          <w:sz w:val="24"/>
          <w:szCs w:val="24"/>
        </w:rPr>
      </w:pPr>
      <w:r w:rsidRPr="006E6A51">
        <w:rPr>
          <w:sz w:val="24"/>
          <w:szCs w:val="24"/>
        </w:rPr>
        <w:t>Fábio Júnior Clemente Gam</w:t>
      </w:r>
      <w:r>
        <w:rPr>
          <w:sz w:val="24"/>
          <w:szCs w:val="24"/>
        </w:rPr>
        <w:t>a</w:t>
      </w:r>
      <w:r w:rsidR="000A3879">
        <w:rPr>
          <w:rStyle w:val="Refdenotaderodap"/>
          <w:sz w:val="24"/>
          <w:szCs w:val="24"/>
        </w:rPr>
        <w:footnoteReference w:id="5"/>
      </w:r>
    </w:p>
    <w:p w14:paraId="5AF00F2B" w14:textId="77777777" w:rsidR="006E6A51" w:rsidRDefault="006E6A51" w:rsidP="006E6A51">
      <w:pPr>
        <w:spacing w:line="240" w:lineRule="auto"/>
        <w:ind w:left="2835"/>
        <w:jc w:val="right"/>
        <w:rPr>
          <w:sz w:val="20"/>
          <w:szCs w:val="20"/>
        </w:rPr>
      </w:pPr>
    </w:p>
    <w:p w14:paraId="3845DB75" w14:textId="77777777" w:rsidR="00D45D49" w:rsidRDefault="00D45D49">
      <w:pPr>
        <w:spacing w:line="240" w:lineRule="auto"/>
        <w:ind w:left="2835"/>
        <w:jc w:val="both"/>
        <w:rPr>
          <w:sz w:val="20"/>
          <w:szCs w:val="20"/>
        </w:rPr>
      </w:pPr>
    </w:p>
    <w:p w14:paraId="6B00ED85" w14:textId="77777777" w:rsidR="00D45D49" w:rsidRDefault="009A68B0">
      <w:pPr>
        <w:spacing w:line="240" w:lineRule="auto"/>
        <w:ind w:left="2835"/>
        <w:jc w:val="both"/>
        <w:rPr>
          <w:sz w:val="20"/>
          <w:szCs w:val="20"/>
        </w:rPr>
      </w:pPr>
      <w:r>
        <w:rPr>
          <w:b/>
          <w:sz w:val="20"/>
          <w:szCs w:val="20"/>
        </w:rPr>
        <w:t>Resumo</w:t>
      </w:r>
    </w:p>
    <w:p w14:paraId="3CA27C6B" w14:textId="024D93FC" w:rsidR="00A4534E" w:rsidRDefault="00A97EA0" w:rsidP="00BA6415">
      <w:pPr>
        <w:spacing w:line="240" w:lineRule="auto"/>
        <w:ind w:left="2835"/>
        <w:jc w:val="both"/>
        <w:rPr>
          <w:sz w:val="20"/>
          <w:szCs w:val="20"/>
        </w:rPr>
      </w:pPr>
      <w:r w:rsidRPr="00985A0A">
        <w:rPr>
          <w:sz w:val="20"/>
          <w:szCs w:val="20"/>
        </w:rPr>
        <w:t>Este artigo analisa a composição da receita pública da União</w:t>
      </w:r>
      <w:r w:rsidR="003C4142" w:rsidRPr="00985A0A">
        <w:rPr>
          <w:sz w:val="20"/>
          <w:szCs w:val="20"/>
        </w:rPr>
        <w:t xml:space="preserve"> e seus efeitos nas</w:t>
      </w:r>
      <w:r w:rsidR="00B47F1E" w:rsidRPr="00985A0A">
        <w:rPr>
          <w:sz w:val="20"/>
          <w:szCs w:val="20"/>
        </w:rPr>
        <w:t xml:space="preserve"> classes sociais,</w:t>
      </w:r>
      <w:r w:rsidRPr="00985A0A">
        <w:rPr>
          <w:sz w:val="20"/>
          <w:szCs w:val="20"/>
        </w:rPr>
        <w:t xml:space="preserve"> no biênio 2023-2024.</w:t>
      </w:r>
      <w:r w:rsidR="00F14844" w:rsidRPr="00985A0A">
        <w:rPr>
          <w:sz w:val="20"/>
          <w:szCs w:val="20"/>
        </w:rPr>
        <w:t xml:space="preserve"> Pa</w:t>
      </w:r>
      <w:r w:rsidR="00390D5A" w:rsidRPr="00985A0A">
        <w:rPr>
          <w:sz w:val="20"/>
          <w:szCs w:val="20"/>
        </w:rPr>
        <w:t>rte de uma perspectiva teórico-metodológica centrada na economia política crítica, ori</w:t>
      </w:r>
      <w:r w:rsidR="00105BEF">
        <w:rPr>
          <w:sz w:val="20"/>
          <w:szCs w:val="20"/>
        </w:rPr>
        <w:t>e</w:t>
      </w:r>
      <w:r w:rsidR="00390D5A" w:rsidRPr="00985A0A">
        <w:rPr>
          <w:sz w:val="20"/>
          <w:szCs w:val="20"/>
        </w:rPr>
        <w:t xml:space="preserve">ntada por categorias do materialismo histórico-dialético. Une-se com uma pesquisa empírica </w:t>
      </w:r>
      <w:r w:rsidR="00E554B9" w:rsidRPr="00985A0A">
        <w:rPr>
          <w:sz w:val="20"/>
          <w:szCs w:val="20"/>
        </w:rPr>
        <w:t>baseada nos dados do SIGA Brasil</w:t>
      </w:r>
      <w:r w:rsidR="006225E1" w:rsidRPr="00985A0A">
        <w:rPr>
          <w:sz w:val="20"/>
          <w:szCs w:val="20"/>
        </w:rPr>
        <w:t xml:space="preserve">, </w:t>
      </w:r>
      <w:r w:rsidR="00390D5A" w:rsidRPr="00985A0A">
        <w:rPr>
          <w:sz w:val="20"/>
          <w:szCs w:val="20"/>
        </w:rPr>
        <w:t>deflacionados pelo</w:t>
      </w:r>
      <w:r w:rsidR="006225E1" w:rsidRPr="00985A0A">
        <w:rPr>
          <w:sz w:val="20"/>
          <w:szCs w:val="20"/>
        </w:rPr>
        <w:t xml:space="preserve"> IGP-DI, </w:t>
      </w:r>
      <w:r w:rsidR="00390D5A" w:rsidRPr="00985A0A">
        <w:rPr>
          <w:sz w:val="20"/>
          <w:szCs w:val="20"/>
        </w:rPr>
        <w:t xml:space="preserve">tendo </w:t>
      </w:r>
      <w:r w:rsidR="00080110" w:rsidRPr="00985A0A">
        <w:rPr>
          <w:sz w:val="20"/>
          <w:szCs w:val="20"/>
        </w:rPr>
        <w:t xml:space="preserve">como </w:t>
      </w:r>
      <w:r w:rsidR="00390D5A" w:rsidRPr="00985A0A">
        <w:rPr>
          <w:sz w:val="20"/>
          <w:szCs w:val="20"/>
        </w:rPr>
        <w:t xml:space="preserve">base </w:t>
      </w:r>
      <w:r w:rsidR="00080110" w:rsidRPr="00985A0A">
        <w:rPr>
          <w:sz w:val="20"/>
          <w:szCs w:val="20"/>
        </w:rPr>
        <w:t>o ano</w:t>
      </w:r>
      <w:r w:rsidR="00080110" w:rsidRPr="00985A0A">
        <w:rPr>
          <w:sz w:val="20"/>
          <w:szCs w:val="20"/>
        </w:rPr>
        <w:t xml:space="preserve"> de</w:t>
      </w:r>
      <w:r w:rsidR="00080110" w:rsidRPr="00985A0A">
        <w:rPr>
          <w:sz w:val="20"/>
          <w:szCs w:val="20"/>
        </w:rPr>
        <w:t xml:space="preserve"> </w:t>
      </w:r>
      <w:r w:rsidR="00390D5A" w:rsidRPr="00985A0A">
        <w:rPr>
          <w:sz w:val="20"/>
          <w:szCs w:val="20"/>
        </w:rPr>
        <w:t xml:space="preserve">2024. </w:t>
      </w:r>
      <w:r w:rsidRPr="00985A0A">
        <w:rPr>
          <w:sz w:val="20"/>
          <w:szCs w:val="20"/>
        </w:rPr>
        <w:t xml:space="preserve"> </w:t>
      </w:r>
      <w:r w:rsidR="00AE7423" w:rsidRPr="00985A0A">
        <w:rPr>
          <w:sz w:val="20"/>
          <w:szCs w:val="20"/>
        </w:rPr>
        <w:t>Constatou</w:t>
      </w:r>
      <w:r w:rsidRPr="00985A0A">
        <w:rPr>
          <w:sz w:val="20"/>
          <w:szCs w:val="20"/>
        </w:rPr>
        <w:t xml:space="preserve">-se que </w:t>
      </w:r>
      <w:r w:rsidR="00AE7423" w:rsidRPr="00985A0A">
        <w:rPr>
          <w:sz w:val="20"/>
          <w:szCs w:val="20"/>
        </w:rPr>
        <w:t>a estrutura tributária federal é</w:t>
      </w:r>
      <w:r w:rsidRPr="00985A0A">
        <w:rPr>
          <w:sz w:val="20"/>
          <w:szCs w:val="20"/>
        </w:rPr>
        <w:t xml:space="preserve"> regressiv</w:t>
      </w:r>
      <w:r w:rsidR="00AE7423" w:rsidRPr="00985A0A">
        <w:rPr>
          <w:sz w:val="20"/>
          <w:szCs w:val="20"/>
        </w:rPr>
        <w:t>a</w:t>
      </w:r>
      <w:r w:rsidRPr="00985A0A">
        <w:rPr>
          <w:sz w:val="20"/>
          <w:szCs w:val="20"/>
        </w:rPr>
        <w:t xml:space="preserve">, impactando desproporcionalmente a classe </w:t>
      </w:r>
      <w:r w:rsidR="00724A17" w:rsidRPr="00985A0A">
        <w:rPr>
          <w:sz w:val="20"/>
          <w:szCs w:val="20"/>
        </w:rPr>
        <w:t>traba</w:t>
      </w:r>
      <w:r w:rsidR="004819F6" w:rsidRPr="00985A0A">
        <w:rPr>
          <w:sz w:val="20"/>
          <w:szCs w:val="20"/>
        </w:rPr>
        <w:t>lhadora, os de mais baixa renda</w:t>
      </w:r>
      <w:r w:rsidRPr="00985A0A">
        <w:rPr>
          <w:sz w:val="20"/>
          <w:szCs w:val="20"/>
        </w:rPr>
        <w:t xml:space="preserve"> e favorecendo </w:t>
      </w:r>
      <w:r w:rsidR="00391BC4" w:rsidRPr="00985A0A">
        <w:rPr>
          <w:sz w:val="20"/>
          <w:szCs w:val="20"/>
        </w:rPr>
        <w:t xml:space="preserve">a classe </w:t>
      </w:r>
      <w:r w:rsidR="004819F6" w:rsidRPr="00985A0A">
        <w:rPr>
          <w:sz w:val="20"/>
          <w:szCs w:val="20"/>
        </w:rPr>
        <w:t>burguesa</w:t>
      </w:r>
      <w:r w:rsidR="00EF6CA8" w:rsidRPr="00985A0A">
        <w:rPr>
          <w:sz w:val="20"/>
          <w:szCs w:val="20"/>
        </w:rPr>
        <w:t>, as de mais alta renda</w:t>
      </w:r>
      <w:r w:rsidRPr="00985A0A">
        <w:rPr>
          <w:sz w:val="20"/>
          <w:szCs w:val="20"/>
        </w:rPr>
        <w:t>,</w:t>
      </w:r>
      <w:r w:rsidR="00A4534E">
        <w:rPr>
          <w:sz w:val="20"/>
          <w:szCs w:val="20"/>
        </w:rPr>
        <w:t xml:space="preserve"> o</w:t>
      </w:r>
      <w:r w:rsidR="00BA6415">
        <w:rPr>
          <w:sz w:val="20"/>
          <w:szCs w:val="20"/>
        </w:rPr>
        <w:t xml:space="preserve"> </w:t>
      </w:r>
      <w:r w:rsidRPr="00985A0A">
        <w:rPr>
          <w:sz w:val="20"/>
          <w:szCs w:val="20"/>
        </w:rPr>
        <w:t>que</w:t>
      </w:r>
      <w:r w:rsidR="00CF7C9D" w:rsidRPr="00985A0A">
        <w:rPr>
          <w:sz w:val="20"/>
          <w:szCs w:val="20"/>
        </w:rPr>
        <w:t xml:space="preserve"> </w:t>
      </w:r>
      <w:r w:rsidRPr="00985A0A">
        <w:rPr>
          <w:sz w:val="20"/>
          <w:szCs w:val="20"/>
        </w:rPr>
        <w:t>contribui</w:t>
      </w:r>
      <w:r w:rsidR="00CF7C9D" w:rsidRPr="00985A0A">
        <w:rPr>
          <w:sz w:val="20"/>
          <w:szCs w:val="20"/>
        </w:rPr>
        <w:t xml:space="preserve"> </w:t>
      </w:r>
      <w:r w:rsidRPr="00985A0A">
        <w:rPr>
          <w:sz w:val="20"/>
          <w:szCs w:val="20"/>
        </w:rPr>
        <w:t>para o aprofundamento das</w:t>
      </w:r>
      <w:r w:rsidR="007242E4" w:rsidRPr="00985A0A">
        <w:rPr>
          <w:sz w:val="20"/>
          <w:szCs w:val="20"/>
        </w:rPr>
        <w:t xml:space="preserve"> </w:t>
      </w:r>
      <w:r w:rsidRPr="00985A0A">
        <w:rPr>
          <w:sz w:val="20"/>
          <w:szCs w:val="20"/>
        </w:rPr>
        <w:t>desigualdades soci</w:t>
      </w:r>
      <w:r w:rsidR="00EF6CA8" w:rsidRPr="00985A0A">
        <w:rPr>
          <w:sz w:val="20"/>
          <w:szCs w:val="20"/>
        </w:rPr>
        <w:t>oeconômicas</w:t>
      </w:r>
      <w:r w:rsidRPr="00985A0A">
        <w:rPr>
          <w:sz w:val="20"/>
          <w:szCs w:val="20"/>
        </w:rPr>
        <w:t>.</w:t>
      </w:r>
    </w:p>
    <w:p w14:paraId="7A65D7D2" w14:textId="77777777" w:rsidR="00BA6415" w:rsidRDefault="00BA6415" w:rsidP="00BA6415">
      <w:pPr>
        <w:spacing w:line="240" w:lineRule="auto"/>
        <w:ind w:left="2835"/>
        <w:jc w:val="both"/>
        <w:rPr>
          <w:sz w:val="20"/>
          <w:szCs w:val="20"/>
        </w:rPr>
      </w:pPr>
    </w:p>
    <w:p w14:paraId="5C60EA9E" w14:textId="4C1E2C9E" w:rsidR="00D45D49" w:rsidRDefault="009A68B0" w:rsidP="00A4534E">
      <w:pPr>
        <w:spacing w:line="240" w:lineRule="auto"/>
        <w:ind w:left="2835"/>
        <w:jc w:val="both"/>
        <w:rPr>
          <w:sz w:val="20"/>
          <w:szCs w:val="20"/>
        </w:rPr>
      </w:pPr>
      <w:r>
        <w:rPr>
          <w:b/>
          <w:sz w:val="20"/>
          <w:szCs w:val="20"/>
        </w:rPr>
        <w:t>Palavras-chave</w:t>
      </w:r>
      <w:r>
        <w:rPr>
          <w:sz w:val="20"/>
          <w:szCs w:val="20"/>
        </w:rPr>
        <w:t xml:space="preserve">: </w:t>
      </w:r>
      <w:r w:rsidR="00294414">
        <w:rPr>
          <w:sz w:val="20"/>
          <w:szCs w:val="20"/>
        </w:rPr>
        <w:t>Fundo Público</w:t>
      </w:r>
      <w:r>
        <w:rPr>
          <w:sz w:val="20"/>
          <w:szCs w:val="20"/>
        </w:rPr>
        <w:t xml:space="preserve">; </w:t>
      </w:r>
      <w:r w:rsidR="00294414">
        <w:rPr>
          <w:sz w:val="20"/>
          <w:szCs w:val="20"/>
        </w:rPr>
        <w:t>Receita Pública;</w:t>
      </w:r>
      <w:r>
        <w:rPr>
          <w:sz w:val="20"/>
          <w:szCs w:val="20"/>
        </w:rPr>
        <w:t xml:space="preserve"> </w:t>
      </w:r>
      <w:r w:rsidR="00294414">
        <w:rPr>
          <w:sz w:val="20"/>
          <w:szCs w:val="20"/>
        </w:rPr>
        <w:t>Classe Social</w:t>
      </w:r>
      <w:r>
        <w:rPr>
          <w:sz w:val="20"/>
          <w:szCs w:val="20"/>
        </w:rPr>
        <w:t>.</w:t>
      </w:r>
    </w:p>
    <w:p w14:paraId="0D1597DA" w14:textId="77777777" w:rsidR="00D45D49" w:rsidRDefault="00D45D49">
      <w:pPr>
        <w:spacing w:line="240" w:lineRule="auto"/>
        <w:ind w:left="2835"/>
        <w:jc w:val="both"/>
        <w:rPr>
          <w:sz w:val="20"/>
          <w:szCs w:val="20"/>
        </w:rPr>
      </w:pPr>
    </w:p>
    <w:p w14:paraId="106F419E" w14:textId="77777777" w:rsidR="00D45D49" w:rsidRPr="00B05F04" w:rsidRDefault="009A68B0">
      <w:pPr>
        <w:spacing w:line="240" w:lineRule="auto"/>
        <w:ind w:left="2835"/>
        <w:jc w:val="both"/>
        <w:rPr>
          <w:sz w:val="20"/>
          <w:szCs w:val="20"/>
          <w:lang w:val="en-US"/>
        </w:rPr>
      </w:pPr>
      <w:r w:rsidRPr="00B05F04">
        <w:rPr>
          <w:b/>
          <w:sz w:val="20"/>
          <w:szCs w:val="20"/>
          <w:lang w:val="en-US"/>
        </w:rPr>
        <w:t>Abstract</w:t>
      </w:r>
    </w:p>
    <w:p w14:paraId="4B8E6F33" w14:textId="300B1B83" w:rsidR="00294414" w:rsidRDefault="00363FAC">
      <w:pPr>
        <w:spacing w:line="240" w:lineRule="auto"/>
        <w:ind w:left="2835"/>
        <w:jc w:val="both"/>
        <w:rPr>
          <w:sz w:val="20"/>
          <w:szCs w:val="20"/>
        </w:rPr>
      </w:pPr>
      <w:proofErr w:type="spellStart"/>
      <w:r w:rsidRPr="00363FAC">
        <w:rPr>
          <w:sz w:val="20"/>
          <w:szCs w:val="20"/>
        </w:rPr>
        <w:t>This</w:t>
      </w:r>
      <w:proofErr w:type="spellEnd"/>
      <w:r w:rsidRPr="00363FAC">
        <w:rPr>
          <w:sz w:val="20"/>
          <w:szCs w:val="20"/>
        </w:rPr>
        <w:t xml:space="preserve"> </w:t>
      </w:r>
      <w:proofErr w:type="spellStart"/>
      <w:r w:rsidRPr="00363FAC">
        <w:rPr>
          <w:sz w:val="20"/>
          <w:szCs w:val="20"/>
        </w:rPr>
        <w:t>article</w:t>
      </w:r>
      <w:proofErr w:type="spellEnd"/>
      <w:r w:rsidRPr="00363FAC">
        <w:rPr>
          <w:sz w:val="20"/>
          <w:szCs w:val="20"/>
        </w:rPr>
        <w:t xml:space="preserve"> </w:t>
      </w:r>
      <w:proofErr w:type="spellStart"/>
      <w:r w:rsidRPr="00363FAC">
        <w:rPr>
          <w:sz w:val="20"/>
          <w:szCs w:val="20"/>
        </w:rPr>
        <w:t>analyzes</w:t>
      </w:r>
      <w:proofErr w:type="spellEnd"/>
      <w:r w:rsidRPr="00363FAC">
        <w:rPr>
          <w:sz w:val="20"/>
          <w:szCs w:val="20"/>
        </w:rPr>
        <w:t xml:space="preserve"> </w:t>
      </w:r>
      <w:proofErr w:type="spellStart"/>
      <w:r w:rsidRPr="00363FAC">
        <w:rPr>
          <w:sz w:val="20"/>
          <w:szCs w:val="20"/>
        </w:rPr>
        <w:t>the</w:t>
      </w:r>
      <w:proofErr w:type="spellEnd"/>
      <w:r w:rsidRPr="00363FAC">
        <w:rPr>
          <w:sz w:val="20"/>
          <w:szCs w:val="20"/>
        </w:rPr>
        <w:t xml:space="preserve"> </w:t>
      </w:r>
      <w:proofErr w:type="spellStart"/>
      <w:r w:rsidRPr="00363FAC">
        <w:rPr>
          <w:sz w:val="20"/>
          <w:szCs w:val="20"/>
        </w:rPr>
        <w:t>composition</w:t>
      </w:r>
      <w:proofErr w:type="spellEnd"/>
      <w:r w:rsidRPr="00363FAC">
        <w:rPr>
          <w:sz w:val="20"/>
          <w:szCs w:val="20"/>
        </w:rPr>
        <w:t xml:space="preserve"> </w:t>
      </w:r>
      <w:proofErr w:type="spellStart"/>
      <w:r w:rsidRPr="00363FAC">
        <w:rPr>
          <w:sz w:val="20"/>
          <w:szCs w:val="20"/>
        </w:rPr>
        <w:t>of</w:t>
      </w:r>
      <w:proofErr w:type="spellEnd"/>
      <w:r w:rsidRPr="00363FAC">
        <w:rPr>
          <w:sz w:val="20"/>
          <w:szCs w:val="20"/>
        </w:rPr>
        <w:t xml:space="preserve"> </w:t>
      </w:r>
      <w:proofErr w:type="spellStart"/>
      <w:r w:rsidRPr="00363FAC">
        <w:rPr>
          <w:sz w:val="20"/>
          <w:szCs w:val="20"/>
        </w:rPr>
        <w:t>the</w:t>
      </w:r>
      <w:proofErr w:type="spellEnd"/>
      <w:r w:rsidRPr="00363FAC">
        <w:rPr>
          <w:sz w:val="20"/>
          <w:szCs w:val="20"/>
        </w:rPr>
        <w:t xml:space="preserve"> </w:t>
      </w:r>
      <w:proofErr w:type="spellStart"/>
      <w:r w:rsidRPr="00363FAC">
        <w:rPr>
          <w:sz w:val="20"/>
          <w:szCs w:val="20"/>
        </w:rPr>
        <w:t>public</w:t>
      </w:r>
      <w:proofErr w:type="spellEnd"/>
      <w:r w:rsidRPr="00363FAC">
        <w:rPr>
          <w:sz w:val="20"/>
          <w:szCs w:val="20"/>
        </w:rPr>
        <w:t xml:space="preserve"> </w:t>
      </w:r>
      <w:proofErr w:type="spellStart"/>
      <w:r w:rsidRPr="00363FAC">
        <w:rPr>
          <w:sz w:val="20"/>
          <w:szCs w:val="20"/>
        </w:rPr>
        <w:t>revenue</w:t>
      </w:r>
      <w:proofErr w:type="spellEnd"/>
      <w:r w:rsidRPr="00363FAC">
        <w:rPr>
          <w:sz w:val="20"/>
          <w:szCs w:val="20"/>
        </w:rPr>
        <w:t xml:space="preserve"> </w:t>
      </w:r>
      <w:proofErr w:type="spellStart"/>
      <w:r w:rsidRPr="00363FAC">
        <w:rPr>
          <w:sz w:val="20"/>
          <w:szCs w:val="20"/>
        </w:rPr>
        <w:t>of</w:t>
      </w:r>
      <w:proofErr w:type="spellEnd"/>
      <w:r w:rsidRPr="00363FAC">
        <w:rPr>
          <w:sz w:val="20"/>
          <w:szCs w:val="20"/>
        </w:rPr>
        <w:t xml:space="preserve"> </w:t>
      </w:r>
      <w:proofErr w:type="spellStart"/>
      <w:r w:rsidRPr="00363FAC">
        <w:rPr>
          <w:sz w:val="20"/>
          <w:szCs w:val="20"/>
        </w:rPr>
        <w:t>the</w:t>
      </w:r>
      <w:proofErr w:type="spellEnd"/>
      <w:r w:rsidRPr="00363FAC">
        <w:rPr>
          <w:sz w:val="20"/>
          <w:szCs w:val="20"/>
        </w:rPr>
        <w:t xml:space="preserve"> Uni</w:t>
      </w:r>
      <w:r w:rsidR="000971AC">
        <w:rPr>
          <w:sz w:val="20"/>
          <w:szCs w:val="20"/>
        </w:rPr>
        <w:t>on</w:t>
      </w:r>
      <w:r w:rsidRPr="00363FAC">
        <w:rPr>
          <w:sz w:val="20"/>
          <w:szCs w:val="20"/>
        </w:rPr>
        <w:t xml:space="preserve"> </w:t>
      </w:r>
      <w:proofErr w:type="spellStart"/>
      <w:r w:rsidRPr="00363FAC">
        <w:rPr>
          <w:sz w:val="20"/>
          <w:szCs w:val="20"/>
        </w:rPr>
        <w:t>and</w:t>
      </w:r>
      <w:proofErr w:type="spellEnd"/>
      <w:r w:rsidRPr="00363FAC">
        <w:rPr>
          <w:sz w:val="20"/>
          <w:szCs w:val="20"/>
        </w:rPr>
        <w:t xml:space="preserve"> its </w:t>
      </w:r>
      <w:proofErr w:type="spellStart"/>
      <w:r w:rsidRPr="00363FAC">
        <w:rPr>
          <w:sz w:val="20"/>
          <w:szCs w:val="20"/>
        </w:rPr>
        <w:t>effects</w:t>
      </w:r>
      <w:proofErr w:type="spellEnd"/>
      <w:r w:rsidRPr="00363FAC">
        <w:rPr>
          <w:sz w:val="20"/>
          <w:szCs w:val="20"/>
        </w:rPr>
        <w:t xml:space="preserve"> </w:t>
      </w:r>
      <w:proofErr w:type="spellStart"/>
      <w:r w:rsidRPr="00363FAC">
        <w:rPr>
          <w:sz w:val="20"/>
          <w:szCs w:val="20"/>
        </w:rPr>
        <w:t>on</w:t>
      </w:r>
      <w:proofErr w:type="spellEnd"/>
      <w:r w:rsidRPr="00363FAC">
        <w:rPr>
          <w:sz w:val="20"/>
          <w:szCs w:val="20"/>
        </w:rPr>
        <w:t xml:space="preserve"> social classes, in </w:t>
      </w:r>
      <w:proofErr w:type="spellStart"/>
      <w:r w:rsidRPr="00363FAC">
        <w:rPr>
          <w:sz w:val="20"/>
          <w:szCs w:val="20"/>
        </w:rPr>
        <w:t>the</w:t>
      </w:r>
      <w:proofErr w:type="spellEnd"/>
      <w:r w:rsidRPr="00363FAC">
        <w:rPr>
          <w:sz w:val="20"/>
          <w:szCs w:val="20"/>
        </w:rPr>
        <w:t xml:space="preserve"> </w:t>
      </w:r>
      <w:proofErr w:type="spellStart"/>
      <w:r w:rsidRPr="00363FAC">
        <w:rPr>
          <w:sz w:val="20"/>
          <w:szCs w:val="20"/>
        </w:rPr>
        <w:t>biennium</w:t>
      </w:r>
      <w:proofErr w:type="spellEnd"/>
      <w:r w:rsidRPr="00363FAC">
        <w:rPr>
          <w:sz w:val="20"/>
          <w:szCs w:val="20"/>
        </w:rPr>
        <w:t xml:space="preserve"> 2023-2024. Part </w:t>
      </w:r>
      <w:proofErr w:type="spellStart"/>
      <w:r w:rsidRPr="00363FAC">
        <w:rPr>
          <w:sz w:val="20"/>
          <w:szCs w:val="20"/>
        </w:rPr>
        <w:t>of</w:t>
      </w:r>
      <w:proofErr w:type="spellEnd"/>
      <w:r w:rsidRPr="00363FAC">
        <w:rPr>
          <w:sz w:val="20"/>
          <w:szCs w:val="20"/>
        </w:rPr>
        <w:t xml:space="preserve"> a </w:t>
      </w:r>
      <w:proofErr w:type="spellStart"/>
      <w:r w:rsidRPr="00363FAC">
        <w:rPr>
          <w:sz w:val="20"/>
          <w:szCs w:val="20"/>
        </w:rPr>
        <w:t>theoretical-methodological</w:t>
      </w:r>
      <w:proofErr w:type="spellEnd"/>
      <w:r w:rsidRPr="00363FAC">
        <w:rPr>
          <w:sz w:val="20"/>
          <w:szCs w:val="20"/>
        </w:rPr>
        <w:t xml:space="preserve"> perspective </w:t>
      </w:r>
      <w:proofErr w:type="spellStart"/>
      <w:r w:rsidRPr="00363FAC">
        <w:rPr>
          <w:sz w:val="20"/>
          <w:szCs w:val="20"/>
        </w:rPr>
        <w:t>centered</w:t>
      </w:r>
      <w:proofErr w:type="spellEnd"/>
      <w:r w:rsidRPr="00363FAC">
        <w:rPr>
          <w:sz w:val="20"/>
          <w:szCs w:val="20"/>
        </w:rPr>
        <w:t xml:space="preserve"> </w:t>
      </w:r>
      <w:proofErr w:type="spellStart"/>
      <w:r w:rsidRPr="00363FAC">
        <w:rPr>
          <w:sz w:val="20"/>
          <w:szCs w:val="20"/>
        </w:rPr>
        <w:t>on</w:t>
      </w:r>
      <w:proofErr w:type="spellEnd"/>
      <w:r w:rsidRPr="00363FAC">
        <w:rPr>
          <w:sz w:val="20"/>
          <w:szCs w:val="20"/>
        </w:rPr>
        <w:t xml:space="preserve"> </w:t>
      </w:r>
      <w:proofErr w:type="spellStart"/>
      <w:r w:rsidRPr="00363FAC">
        <w:rPr>
          <w:sz w:val="20"/>
          <w:szCs w:val="20"/>
        </w:rPr>
        <w:t>critical</w:t>
      </w:r>
      <w:proofErr w:type="spellEnd"/>
      <w:r w:rsidRPr="00363FAC">
        <w:rPr>
          <w:sz w:val="20"/>
          <w:szCs w:val="20"/>
        </w:rPr>
        <w:t xml:space="preserve"> </w:t>
      </w:r>
      <w:proofErr w:type="spellStart"/>
      <w:r w:rsidRPr="00363FAC">
        <w:rPr>
          <w:sz w:val="20"/>
          <w:szCs w:val="20"/>
        </w:rPr>
        <w:t>political</w:t>
      </w:r>
      <w:proofErr w:type="spellEnd"/>
      <w:r w:rsidRPr="00363FAC">
        <w:rPr>
          <w:sz w:val="20"/>
          <w:szCs w:val="20"/>
        </w:rPr>
        <w:t xml:space="preserve"> </w:t>
      </w:r>
      <w:proofErr w:type="spellStart"/>
      <w:r w:rsidRPr="00363FAC">
        <w:rPr>
          <w:sz w:val="20"/>
          <w:szCs w:val="20"/>
        </w:rPr>
        <w:t>economy</w:t>
      </w:r>
      <w:proofErr w:type="spellEnd"/>
      <w:r w:rsidRPr="00363FAC">
        <w:rPr>
          <w:sz w:val="20"/>
          <w:szCs w:val="20"/>
        </w:rPr>
        <w:t xml:space="preserve">, </w:t>
      </w:r>
      <w:proofErr w:type="spellStart"/>
      <w:r w:rsidRPr="00363FAC">
        <w:rPr>
          <w:sz w:val="20"/>
          <w:szCs w:val="20"/>
        </w:rPr>
        <w:t>guided</w:t>
      </w:r>
      <w:proofErr w:type="spellEnd"/>
      <w:r w:rsidRPr="00363FAC">
        <w:rPr>
          <w:sz w:val="20"/>
          <w:szCs w:val="20"/>
        </w:rPr>
        <w:t xml:space="preserve"> </w:t>
      </w:r>
      <w:proofErr w:type="spellStart"/>
      <w:r w:rsidRPr="00363FAC">
        <w:rPr>
          <w:sz w:val="20"/>
          <w:szCs w:val="20"/>
        </w:rPr>
        <w:t>by</w:t>
      </w:r>
      <w:proofErr w:type="spellEnd"/>
      <w:r w:rsidRPr="00363FAC">
        <w:rPr>
          <w:sz w:val="20"/>
          <w:szCs w:val="20"/>
        </w:rPr>
        <w:t xml:space="preserve"> </w:t>
      </w:r>
      <w:proofErr w:type="spellStart"/>
      <w:r w:rsidRPr="00363FAC">
        <w:rPr>
          <w:sz w:val="20"/>
          <w:szCs w:val="20"/>
        </w:rPr>
        <w:t>categories</w:t>
      </w:r>
      <w:proofErr w:type="spellEnd"/>
      <w:r w:rsidRPr="00363FAC">
        <w:rPr>
          <w:sz w:val="20"/>
          <w:szCs w:val="20"/>
        </w:rPr>
        <w:t xml:space="preserve"> </w:t>
      </w:r>
      <w:proofErr w:type="spellStart"/>
      <w:r w:rsidRPr="00363FAC">
        <w:rPr>
          <w:sz w:val="20"/>
          <w:szCs w:val="20"/>
        </w:rPr>
        <w:t>of</w:t>
      </w:r>
      <w:proofErr w:type="spellEnd"/>
      <w:r w:rsidRPr="00363FAC">
        <w:rPr>
          <w:sz w:val="20"/>
          <w:szCs w:val="20"/>
        </w:rPr>
        <w:t xml:space="preserve"> </w:t>
      </w:r>
      <w:proofErr w:type="spellStart"/>
      <w:r w:rsidRPr="00363FAC">
        <w:rPr>
          <w:sz w:val="20"/>
          <w:szCs w:val="20"/>
        </w:rPr>
        <w:t>historical-dialectical</w:t>
      </w:r>
      <w:proofErr w:type="spellEnd"/>
      <w:r w:rsidRPr="00363FAC">
        <w:rPr>
          <w:sz w:val="20"/>
          <w:szCs w:val="20"/>
        </w:rPr>
        <w:t xml:space="preserve"> </w:t>
      </w:r>
      <w:proofErr w:type="spellStart"/>
      <w:r w:rsidRPr="00363FAC">
        <w:rPr>
          <w:sz w:val="20"/>
          <w:szCs w:val="20"/>
        </w:rPr>
        <w:t>materialism</w:t>
      </w:r>
      <w:proofErr w:type="spellEnd"/>
      <w:r w:rsidRPr="00363FAC">
        <w:rPr>
          <w:sz w:val="20"/>
          <w:szCs w:val="20"/>
        </w:rPr>
        <w:t xml:space="preserve">. United </w:t>
      </w:r>
      <w:proofErr w:type="spellStart"/>
      <w:r w:rsidRPr="00363FAC">
        <w:rPr>
          <w:sz w:val="20"/>
          <w:szCs w:val="20"/>
        </w:rPr>
        <w:t>with</w:t>
      </w:r>
      <w:proofErr w:type="spellEnd"/>
      <w:r w:rsidRPr="00363FAC">
        <w:rPr>
          <w:sz w:val="20"/>
          <w:szCs w:val="20"/>
        </w:rPr>
        <w:t xml:space="preserve"> </w:t>
      </w:r>
      <w:proofErr w:type="spellStart"/>
      <w:r w:rsidRPr="00363FAC">
        <w:rPr>
          <w:sz w:val="20"/>
          <w:szCs w:val="20"/>
        </w:rPr>
        <w:t>an</w:t>
      </w:r>
      <w:proofErr w:type="spellEnd"/>
      <w:r w:rsidRPr="00363FAC">
        <w:rPr>
          <w:sz w:val="20"/>
          <w:szCs w:val="20"/>
        </w:rPr>
        <w:t xml:space="preserve"> </w:t>
      </w:r>
      <w:proofErr w:type="spellStart"/>
      <w:r w:rsidRPr="00363FAC">
        <w:rPr>
          <w:sz w:val="20"/>
          <w:szCs w:val="20"/>
        </w:rPr>
        <w:t>empirical</w:t>
      </w:r>
      <w:proofErr w:type="spellEnd"/>
      <w:r w:rsidRPr="00363FAC">
        <w:rPr>
          <w:sz w:val="20"/>
          <w:szCs w:val="20"/>
        </w:rPr>
        <w:t xml:space="preserve"> </w:t>
      </w:r>
      <w:proofErr w:type="spellStart"/>
      <w:r w:rsidRPr="00363FAC">
        <w:rPr>
          <w:sz w:val="20"/>
          <w:szCs w:val="20"/>
        </w:rPr>
        <w:t>research</w:t>
      </w:r>
      <w:proofErr w:type="spellEnd"/>
      <w:r w:rsidRPr="00363FAC">
        <w:rPr>
          <w:sz w:val="20"/>
          <w:szCs w:val="20"/>
        </w:rPr>
        <w:t xml:space="preserve"> </w:t>
      </w:r>
      <w:proofErr w:type="spellStart"/>
      <w:r w:rsidRPr="00363FAC">
        <w:rPr>
          <w:sz w:val="20"/>
          <w:szCs w:val="20"/>
        </w:rPr>
        <w:t>based</w:t>
      </w:r>
      <w:proofErr w:type="spellEnd"/>
      <w:r w:rsidRPr="00363FAC">
        <w:rPr>
          <w:sz w:val="20"/>
          <w:szCs w:val="20"/>
        </w:rPr>
        <w:t xml:space="preserve"> </w:t>
      </w:r>
      <w:proofErr w:type="spellStart"/>
      <w:r w:rsidRPr="00363FAC">
        <w:rPr>
          <w:sz w:val="20"/>
          <w:szCs w:val="20"/>
        </w:rPr>
        <w:t>on</w:t>
      </w:r>
      <w:proofErr w:type="spellEnd"/>
      <w:r w:rsidRPr="00363FAC">
        <w:rPr>
          <w:sz w:val="20"/>
          <w:szCs w:val="20"/>
        </w:rPr>
        <w:t xml:space="preserve"> data </w:t>
      </w:r>
      <w:proofErr w:type="spellStart"/>
      <w:r w:rsidRPr="00363FAC">
        <w:rPr>
          <w:sz w:val="20"/>
          <w:szCs w:val="20"/>
        </w:rPr>
        <w:t>from</w:t>
      </w:r>
      <w:proofErr w:type="spellEnd"/>
      <w:r w:rsidRPr="00363FAC">
        <w:rPr>
          <w:sz w:val="20"/>
          <w:szCs w:val="20"/>
        </w:rPr>
        <w:t xml:space="preserve"> SIGA Bra</w:t>
      </w:r>
      <w:r w:rsidR="00017C35">
        <w:rPr>
          <w:sz w:val="20"/>
          <w:szCs w:val="20"/>
        </w:rPr>
        <w:t>s</w:t>
      </w:r>
      <w:r w:rsidRPr="00363FAC">
        <w:rPr>
          <w:sz w:val="20"/>
          <w:szCs w:val="20"/>
        </w:rPr>
        <w:t xml:space="preserve">il, </w:t>
      </w:r>
      <w:proofErr w:type="spellStart"/>
      <w:r w:rsidRPr="00363FAC">
        <w:rPr>
          <w:sz w:val="20"/>
          <w:szCs w:val="20"/>
        </w:rPr>
        <w:t>deflated</w:t>
      </w:r>
      <w:proofErr w:type="spellEnd"/>
      <w:r w:rsidRPr="00363FAC">
        <w:rPr>
          <w:sz w:val="20"/>
          <w:szCs w:val="20"/>
        </w:rPr>
        <w:t xml:space="preserve"> </w:t>
      </w:r>
      <w:proofErr w:type="spellStart"/>
      <w:r w:rsidRPr="00363FAC">
        <w:rPr>
          <w:sz w:val="20"/>
          <w:szCs w:val="20"/>
        </w:rPr>
        <w:t>by</w:t>
      </w:r>
      <w:proofErr w:type="spellEnd"/>
      <w:r w:rsidRPr="00363FAC">
        <w:rPr>
          <w:sz w:val="20"/>
          <w:szCs w:val="20"/>
        </w:rPr>
        <w:t xml:space="preserve"> </w:t>
      </w:r>
      <w:proofErr w:type="spellStart"/>
      <w:r w:rsidRPr="00363FAC">
        <w:rPr>
          <w:sz w:val="20"/>
          <w:szCs w:val="20"/>
        </w:rPr>
        <w:t>the</w:t>
      </w:r>
      <w:proofErr w:type="spellEnd"/>
      <w:r w:rsidRPr="00363FAC">
        <w:rPr>
          <w:sz w:val="20"/>
          <w:szCs w:val="20"/>
        </w:rPr>
        <w:t xml:space="preserve"> IGP-DI, </w:t>
      </w:r>
      <w:proofErr w:type="spellStart"/>
      <w:r w:rsidRPr="00363FAC">
        <w:rPr>
          <w:sz w:val="20"/>
          <w:szCs w:val="20"/>
        </w:rPr>
        <w:t>based</w:t>
      </w:r>
      <w:proofErr w:type="spellEnd"/>
      <w:r w:rsidRPr="00363FAC">
        <w:rPr>
          <w:sz w:val="20"/>
          <w:szCs w:val="20"/>
        </w:rPr>
        <w:t xml:space="preserve"> </w:t>
      </w:r>
      <w:proofErr w:type="spellStart"/>
      <w:r w:rsidRPr="00363FAC">
        <w:rPr>
          <w:sz w:val="20"/>
          <w:szCs w:val="20"/>
        </w:rPr>
        <w:t>on</w:t>
      </w:r>
      <w:proofErr w:type="spellEnd"/>
      <w:r w:rsidRPr="00363FAC">
        <w:rPr>
          <w:sz w:val="20"/>
          <w:szCs w:val="20"/>
        </w:rPr>
        <w:t xml:space="preserve"> </w:t>
      </w:r>
      <w:proofErr w:type="spellStart"/>
      <w:r w:rsidRPr="00363FAC">
        <w:rPr>
          <w:sz w:val="20"/>
          <w:szCs w:val="20"/>
        </w:rPr>
        <w:t>the</w:t>
      </w:r>
      <w:proofErr w:type="spellEnd"/>
      <w:r w:rsidRPr="00363FAC">
        <w:rPr>
          <w:sz w:val="20"/>
          <w:szCs w:val="20"/>
        </w:rPr>
        <w:t xml:space="preserve"> </w:t>
      </w:r>
      <w:proofErr w:type="spellStart"/>
      <w:r w:rsidRPr="00363FAC">
        <w:rPr>
          <w:sz w:val="20"/>
          <w:szCs w:val="20"/>
        </w:rPr>
        <w:t>year</w:t>
      </w:r>
      <w:proofErr w:type="spellEnd"/>
      <w:r w:rsidRPr="00363FAC">
        <w:rPr>
          <w:sz w:val="20"/>
          <w:szCs w:val="20"/>
        </w:rPr>
        <w:t xml:space="preserve"> 2024.  It </w:t>
      </w:r>
      <w:proofErr w:type="spellStart"/>
      <w:r w:rsidRPr="00363FAC">
        <w:rPr>
          <w:sz w:val="20"/>
          <w:szCs w:val="20"/>
        </w:rPr>
        <w:t>has</w:t>
      </w:r>
      <w:proofErr w:type="spellEnd"/>
      <w:r w:rsidRPr="00363FAC">
        <w:rPr>
          <w:sz w:val="20"/>
          <w:szCs w:val="20"/>
        </w:rPr>
        <w:t xml:space="preserve"> </w:t>
      </w:r>
      <w:proofErr w:type="spellStart"/>
      <w:r w:rsidRPr="00363FAC">
        <w:rPr>
          <w:sz w:val="20"/>
          <w:szCs w:val="20"/>
        </w:rPr>
        <w:t>been</w:t>
      </w:r>
      <w:proofErr w:type="spellEnd"/>
      <w:r w:rsidRPr="00363FAC">
        <w:rPr>
          <w:sz w:val="20"/>
          <w:szCs w:val="20"/>
        </w:rPr>
        <w:t xml:space="preserve"> </w:t>
      </w:r>
      <w:proofErr w:type="spellStart"/>
      <w:r w:rsidRPr="00363FAC">
        <w:rPr>
          <w:sz w:val="20"/>
          <w:szCs w:val="20"/>
        </w:rPr>
        <w:t>shown</w:t>
      </w:r>
      <w:proofErr w:type="spellEnd"/>
      <w:r w:rsidRPr="00363FAC">
        <w:rPr>
          <w:sz w:val="20"/>
          <w:szCs w:val="20"/>
        </w:rPr>
        <w:t xml:space="preserve"> </w:t>
      </w:r>
      <w:proofErr w:type="spellStart"/>
      <w:r w:rsidRPr="00363FAC">
        <w:rPr>
          <w:sz w:val="20"/>
          <w:szCs w:val="20"/>
        </w:rPr>
        <w:t>that</w:t>
      </w:r>
      <w:proofErr w:type="spellEnd"/>
      <w:r w:rsidRPr="00363FAC">
        <w:rPr>
          <w:sz w:val="20"/>
          <w:szCs w:val="20"/>
        </w:rPr>
        <w:t xml:space="preserve"> </w:t>
      </w:r>
      <w:proofErr w:type="spellStart"/>
      <w:r w:rsidRPr="00363FAC">
        <w:rPr>
          <w:sz w:val="20"/>
          <w:szCs w:val="20"/>
        </w:rPr>
        <w:t>the</w:t>
      </w:r>
      <w:proofErr w:type="spellEnd"/>
      <w:r w:rsidRPr="00363FAC">
        <w:rPr>
          <w:sz w:val="20"/>
          <w:szCs w:val="20"/>
        </w:rPr>
        <w:t xml:space="preserve"> federal </w:t>
      </w:r>
      <w:proofErr w:type="spellStart"/>
      <w:r w:rsidRPr="00363FAC">
        <w:rPr>
          <w:sz w:val="20"/>
          <w:szCs w:val="20"/>
        </w:rPr>
        <w:t>tax</w:t>
      </w:r>
      <w:proofErr w:type="spellEnd"/>
      <w:r w:rsidRPr="00363FAC">
        <w:rPr>
          <w:sz w:val="20"/>
          <w:szCs w:val="20"/>
        </w:rPr>
        <w:t xml:space="preserve"> </w:t>
      </w:r>
      <w:proofErr w:type="spellStart"/>
      <w:r w:rsidRPr="00363FAC">
        <w:rPr>
          <w:sz w:val="20"/>
          <w:szCs w:val="20"/>
        </w:rPr>
        <w:t>structure</w:t>
      </w:r>
      <w:proofErr w:type="spellEnd"/>
      <w:r w:rsidRPr="00363FAC">
        <w:rPr>
          <w:sz w:val="20"/>
          <w:szCs w:val="20"/>
        </w:rPr>
        <w:t xml:space="preserve"> </w:t>
      </w:r>
      <w:proofErr w:type="spellStart"/>
      <w:r w:rsidRPr="00363FAC">
        <w:rPr>
          <w:sz w:val="20"/>
          <w:szCs w:val="20"/>
        </w:rPr>
        <w:t>is</w:t>
      </w:r>
      <w:proofErr w:type="spellEnd"/>
      <w:r w:rsidRPr="00363FAC">
        <w:rPr>
          <w:sz w:val="20"/>
          <w:szCs w:val="20"/>
        </w:rPr>
        <w:t xml:space="preserve"> </w:t>
      </w:r>
      <w:proofErr w:type="spellStart"/>
      <w:r w:rsidRPr="00363FAC">
        <w:rPr>
          <w:sz w:val="20"/>
          <w:szCs w:val="20"/>
        </w:rPr>
        <w:t>regressive</w:t>
      </w:r>
      <w:proofErr w:type="spellEnd"/>
      <w:r w:rsidRPr="00363FAC">
        <w:rPr>
          <w:sz w:val="20"/>
          <w:szCs w:val="20"/>
        </w:rPr>
        <w:t xml:space="preserve">, </w:t>
      </w:r>
      <w:proofErr w:type="spellStart"/>
      <w:r w:rsidRPr="00363FAC">
        <w:rPr>
          <w:sz w:val="20"/>
          <w:szCs w:val="20"/>
        </w:rPr>
        <w:t>disproportionately</w:t>
      </w:r>
      <w:proofErr w:type="spellEnd"/>
      <w:r w:rsidRPr="00363FAC">
        <w:rPr>
          <w:sz w:val="20"/>
          <w:szCs w:val="20"/>
        </w:rPr>
        <w:t xml:space="preserve"> </w:t>
      </w:r>
      <w:proofErr w:type="spellStart"/>
      <w:r w:rsidRPr="00363FAC">
        <w:rPr>
          <w:sz w:val="20"/>
          <w:szCs w:val="20"/>
        </w:rPr>
        <w:t>impacting</w:t>
      </w:r>
      <w:proofErr w:type="spellEnd"/>
      <w:r w:rsidRPr="00363FAC">
        <w:rPr>
          <w:sz w:val="20"/>
          <w:szCs w:val="20"/>
        </w:rPr>
        <w:t xml:space="preserve"> </w:t>
      </w:r>
      <w:proofErr w:type="spellStart"/>
      <w:r w:rsidRPr="00363FAC">
        <w:rPr>
          <w:sz w:val="20"/>
          <w:szCs w:val="20"/>
        </w:rPr>
        <w:t>the</w:t>
      </w:r>
      <w:proofErr w:type="spellEnd"/>
      <w:r w:rsidRPr="00363FAC">
        <w:rPr>
          <w:sz w:val="20"/>
          <w:szCs w:val="20"/>
        </w:rPr>
        <w:t xml:space="preserve"> </w:t>
      </w:r>
      <w:proofErr w:type="spellStart"/>
      <w:r w:rsidRPr="00363FAC">
        <w:rPr>
          <w:sz w:val="20"/>
          <w:szCs w:val="20"/>
        </w:rPr>
        <w:t>working</w:t>
      </w:r>
      <w:proofErr w:type="spellEnd"/>
      <w:r w:rsidRPr="00363FAC">
        <w:rPr>
          <w:sz w:val="20"/>
          <w:szCs w:val="20"/>
        </w:rPr>
        <w:t xml:space="preserve"> </w:t>
      </w:r>
      <w:proofErr w:type="spellStart"/>
      <w:r w:rsidRPr="00363FAC">
        <w:rPr>
          <w:sz w:val="20"/>
          <w:szCs w:val="20"/>
        </w:rPr>
        <w:t>class</w:t>
      </w:r>
      <w:proofErr w:type="spellEnd"/>
      <w:r w:rsidRPr="00363FAC">
        <w:rPr>
          <w:sz w:val="20"/>
          <w:szCs w:val="20"/>
        </w:rPr>
        <w:t xml:space="preserve">, </w:t>
      </w:r>
      <w:proofErr w:type="spellStart"/>
      <w:r w:rsidRPr="00363FAC">
        <w:rPr>
          <w:sz w:val="20"/>
          <w:szCs w:val="20"/>
        </w:rPr>
        <w:t>those</w:t>
      </w:r>
      <w:proofErr w:type="spellEnd"/>
      <w:r w:rsidRPr="00363FAC">
        <w:rPr>
          <w:sz w:val="20"/>
          <w:szCs w:val="20"/>
        </w:rPr>
        <w:t xml:space="preserve"> </w:t>
      </w:r>
      <w:proofErr w:type="spellStart"/>
      <w:r w:rsidRPr="00363FAC">
        <w:rPr>
          <w:sz w:val="20"/>
          <w:szCs w:val="20"/>
        </w:rPr>
        <w:t>with</w:t>
      </w:r>
      <w:proofErr w:type="spellEnd"/>
      <w:r w:rsidRPr="00363FAC">
        <w:rPr>
          <w:sz w:val="20"/>
          <w:szCs w:val="20"/>
        </w:rPr>
        <w:t xml:space="preserve"> </w:t>
      </w:r>
      <w:proofErr w:type="spellStart"/>
      <w:r w:rsidRPr="00363FAC">
        <w:rPr>
          <w:sz w:val="20"/>
          <w:szCs w:val="20"/>
        </w:rPr>
        <w:t>lower</w:t>
      </w:r>
      <w:proofErr w:type="spellEnd"/>
      <w:r w:rsidRPr="00363FAC">
        <w:rPr>
          <w:sz w:val="20"/>
          <w:szCs w:val="20"/>
        </w:rPr>
        <w:t xml:space="preserve"> incomes </w:t>
      </w:r>
      <w:proofErr w:type="spellStart"/>
      <w:r w:rsidRPr="00363FAC">
        <w:rPr>
          <w:sz w:val="20"/>
          <w:szCs w:val="20"/>
        </w:rPr>
        <w:t>and</w:t>
      </w:r>
      <w:proofErr w:type="spellEnd"/>
      <w:r w:rsidRPr="00363FAC">
        <w:rPr>
          <w:sz w:val="20"/>
          <w:szCs w:val="20"/>
        </w:rPr>
        <w:t xml:space="preserve"> </w:t>
      </w:r>
      <w:proofErr w:type="spellStart"/>
      <w:r w:rsidRPr="00363FAC">
        <w:rPr>
          <w:sz w:val="20"/>
          <w:szCs w:val="20"/>
        </w:rPr>
        <w:t>favoring</w:t>
      </w:r>
      <w:proofErr w:type="spellEnd"/>
      <w:r w:rsidRPr="00363FAC">
        <w:rPr>
          <w:sz w:val="20"/>
          <w:szCs w:val="20"/>
        </w:rPr>
        <w:t xml:space="preserve"> </w:t>
      </w:r>
      <w:proofErr w:type="spellStart"/>
      <w:r w:rsidRPr="00363FAC">
        <w:rPr>
          <w:sz w:val="20"/>
          <w:szCs w:val="20"/>
        </w:rPr>
        <w:t>the</w:t>
      </w:r>
      <w:proofErr w:type="spellEnd"/>
      <w:r w:rsidRPr="00363FAC">
        <w:rPr>
          <w:sz w:val="20"/>
          <w:szCs w:val="20"/>
        </w:rPr>
        <w:t xml:space="preserve"> </w:t>
      </w:r>
      <w:proofErr w:type="spellStart"/>
      <w:r w:rsidRPr="00363FAC">
        <w:rPr>
          <w:sz w:val="20"/>
          <w:szCs w:val="20"/>
        </w:rPr>
        <w:t>bourgeois</w:t>
      </w:r>
      <w:proofErr w:type="spellEnd"/>
      <w:r w:rsidRPr="00363FAC">
        <w:rPr>
          <w:sz w:val="20"/>
          <w:szCs w:val="20"/>
        </w:rPr>
        <w:t xml:space="preserve"> </w:t>
      </w:r>
      <w:proofErr w:type="spellStart"/>
      <w:r w:rsidRPr="00363FAC">
        <w:rPr>
          <w:sz w:val="20"/>
          <w:szCs w:val="20"/>
        </w:rPr>
        <w:t>class</w:t>
      </w:r>
      <w:proofErr w:type="spellEnd"/>
      <w:r w:rsidRPr="00363FAC">
        <w:rPr>
          <w:sz w:val="20"/>
          <w:szCs w:val="20"/>
        </w:rPr>
        <w:t xml:space="preserve">, </w:t>
      </w:r>
      <w:proofErr w:type="spellStart"/>
      <w:r w:rsidRPr="00363FAC">
        <w:rPr>
          <w:sz w:val="20"/>
          <w:szCs w:val="20"/>
        </w:rPr>
        <w:t>those</w:t>
      </w:r>
      <w:proofErr w:type="spellEnd"/>
      <w:r w:rsidRPr="00363FAC">
        <w:rPr>
          <w:sz w:val="20"/>
          <w:szCs w:val="20"/>
        </w:rPr>
        <w:t xml:space="preserve"> </w:t>
      </w:r>
      <w:proofErr w:type="spellStart"/>
      <w:r w:rsidRPr="00363FAC">
        <w:rPr>
          <w:sz w:val="20"/>
          <w:szCs w:val="20"/>
        </w:rPr>
        <w:t>with</w:t>
      </w:r>
      <w:proofErr w:type="spellEnd"/>
      <w:r w:rsidRPr="00363FAC">
        <w:rPr>
          <w:sz w:val="20"/>
          <w:szCs w:val="20"/>
        </w:rPr>
        <w:t xml:space="preserve"> </w:t>
      </w:r>
      <w:proofErr w:type="spellStart"/>
      <w:r w:rsidRPr="00363FAC">
        <w:rPr>
          <w:sz w:val="20"/>
          <w:szCs w:val="20"/>
        </w:rPr>
        <w:t>higher</w:t>
      </w:r>
      <w:proofErr w:type="spellEnd"/>
      <w:r w:rsidRPr="00363FAC">
        <w:rPr>
          <w:sz w:val="20"/>
          <w:szCs w:val="20"/>
        </w:rPr>
        <w:t xml:space="preserve"> incomes, </w:t>
      </w:r>
      <w:proofErr w:type="spellStart"/>
      <w:r w:rsidRPr="00363FAC">
        <w:rPr>
          <w:sz w:val="20"/>
          <w:szCs w:val="20"/>
        </w:rPr>
        <w:t>which</w:t>
      </w:r>
      <w:proofErr w:type="spellEnd"/>
      <w:r w:rsidRPr="00363FAC">
        <w:rPr>
          <w:sz w:val="20"/>
          <w:szCs w:val="20"/>
        </w:rPr>
        <w:t xml:space="preserve"> </w:t>
      </w:r>
      <w:proofErr w:type="spellStart"/>
      <w:r w:rsidRPr="00363FAC">
        <w:rPr>
          <w:sz w:val="20"/>
          <w:szCs w:val="20"/>
        </w:rPr>
        <w:t>contributes</w:t>
      </w:r>
      <w:proofErr w:type="spellEnd"/>
      <w:r w:rsidRPr="00363FAC">
        <w:rPr>
          <w:sz w:val="20"/>
          <w:szCs w:val="20"/>
        </w:rPr>
        <w:t xml:space="preserve"> </w:t>
      </w:r>
      <w:proofErr w:type="spellStart"/>
      <w:r w:rsidRPr="00363FAC">
        <w:rPr>
          <w:sz w:val="20"/>
          <w:szCs w:val="20"/>
        </w:rPr>
        <w:t>to</w:t>
      </w:r>
      <w:proofErr w:type="spellEnd"/>
      <w:r w:rsidRPr="00363FAC">
        <w:rPr>
          <w:sz w:val="20"/>
          <w:szCs w:val="20"/>
        </w:rPr>
        <w:t xml:space="preserve"> </w:t>
      </w:r>
      <w:proofErr w:type="spellStart"/>
      <w:r w:rsidRPr="00363FAC">
        <w:rPr>
          <w:sz w:val="20"/>
          <w:szCs w:val="20"/>
        </w:rPr>
        <w:t>the</w:t>
      </w:r>
      <w:proofErr w:type="spellEnd"/>
      <w:r w:rsidRPr="00363FAC">
        <w:rPr>
          <w:sz w:val="20"/>
          <w:szCs w:val="20"/>
        </w:rPr>
        <w:t xml:space="preserve"> </w:t>
      </w:r>
      <w:proofErr w:type="spellStart"/>
      <w:r w:rsidRPr="00363FAC">
        <w:rPr>
          <w:sz w:val="20"/>
          <w:szCs w:val="20"/>
        </w:rPr>
        <w:t>deepening</w:t>
      </w:r>
      <w:proofErr w:type="spellEnd"/>
      <w:r w:rsidRPr="00363FAC">
        <w:rPr>
          <w:sz w:val="20"/>
          <w:szCs w:val="20"/>
        </w:rPr>
        <w:t xml:space="preserve"> </w:t>
      </w:r>
      <w:proofErr w:type="spellStart"/>
      <w:r w:rsidRPr="00363FAC">
        <w:rPr>
          <w:sz w:val="20"/>
          <w:szCs w:val="20"/>
        </w:rPr>
        <w:t>of</w:t>
      </w:r>
      <w:proofErr w:type="spellEnd"/>
      <w:r w:rsidRPr="00363FAC">
        <w:rPr>
          <w:sz w:val="20"/>
          <w:szCs w:val="20"/>
        </w:rPr>
        <w:t xml:space="preserve"> </w:t>
      </w:r>
      <w:proofErr w:type="spellStart"/>
      <w:r w:rsidRPr="00363FAC">
        <w:rPr>
          <w:sz w:val="20"/>
          <w:szCs w:val="20"/>
        </w:rPr>
        <w:t>socioeconomic</w:t>
      </w:r>
      <w:proofErr w:type="spellEnd"/>
      <w:r w:rsidRPr="00363FAC">
        <w:rPr>
          <w:sz w:val="20"/>
          <w:szCs w:val="20"/>
        </w:rPr>
        <w:t xml:space="preserve"> </w:t>
      </w:r>
      <w:proofErr w:type="spellStart"/>
      <w:r w:rsidRPr="00363FAC">
        <w:rPr>
          <w:sz w:val="20"/>
          <w:szCs w:val="20"/>
        </w:rPr>
        <w:t>inequalities</w:t>
      </w:r>
      <w:proofErr w:type="spellEnd"/>
      <w:r w:rsidRPr="00363FAC">
        <w:rPr>
          <w:sz w:val="20"/>
          <w:szCs w:val="20"/>
        </w:rPr>
        <w:t>.</w:t>
      </w:r>
    </w:p>
    <w:p w14:paraId="2474CBCE" w14:textId="77777777" w:rsidR="000971AC" w:rsidRPr="00B05F04" w:rsidRDefault="000971AC">
      <w:pPr>
        <w:spacing w:line="240" w:lineRule="auto"/>
        <w:ind w:left="2835"/>
        <w:jc w:val="both"/>
        <w:rPr>
          <w:sz w:val="20"/>
          <w:szCs w:val="20"/>
          <w:lang w:val="en-US"/>
        </w:rPr>
      </w:pPr>
    </w:p>
    <w:p w14:paraId="6738A954" w14:textId="66A68E2A" w:rsidR="00D45D49" w:rsidRPr="00B05F04" w:rsidRDefault="009A68B0">
      <w:pPr>
        <w:spacing w:line="240" w:lineRule="auto"/>
        <w:ind w:left="2835"/>
        <w:jc w:val="both"/>
        <w:rPr>
          <w:sz w:val="20"/>
          <w:szCs w:val="20"/>
          <w:lang w:val="en-US"/>
        </w:rPr>
      </w:pPr>
      <w:r w:rsidRPr="00B05F04">
        <w:rPr>
          <w:b/>
          <w:sz w:val="20"/>
          <w:szCs w:val="20"/>
          <w:lang w:val="en-US"/>
        </w:rPr>
        <w:t>Keywords</w:t>
      </w:r>
      <w:r w:rsidRPr="00B05F04">
        <w:rPr>
          <w:sz w:val="20"/>
          <w:szCs w:val="20"/>
          <w:lang w:val="en-US"/>
        </w:rPr>
        <w:t xml:space="preserve">: </w:t>
      </w:r>
      <w:r w:rsidR="00294414" w:rsidRPr="00B05F04">
        <w:rPr>
          <w:sz w:val="20"/>
          <w:szCs w:val="20"/>
          <w:lang w:val="en-US"/>
        </w:rPr>
        <w:t>Public Fund</w:t>
      </w:r>
      <w:r w:rsidRPr="00B05F04">
        <w:rPr>
          <w:sz w:val="20"/>
          <w:szCs w:val="20"/>
          <w:lang w:val="en-US"/>
        </w:rPr>
        <w:t xml:space="preserve">; </w:t>
      </w:r>
      <w:r w:rsidR="00294414" w:rsidRPr="00B05F04">
        <w:rPr>
          <w:sz w:val="20"/>
          <w:szCs w:val="20"/>
          <w:lang w:val="en-US"/>
        </w:rPr>
        <w:t>Public Revenue</w:t>
      </w:r>
      <w:r w:rsidRPr="00B05F04">
        <w:rPr>
          <w:sz w:val="20"/>
          <w:szCs w:val="20"/>
          <w:lang w:val="en-US"/>
        </w:rPr>
        <w:t xml:space="preserve">; </w:t>
      </w:r>
      <w:r w:rsidR="00294414" w:rsidRPr="00B05F04">
        <w:rPr>
          <w:sz w:val="20"/>
          <w:szCs w:val="20"/>
          <w:lang w:val="en-US"/>
        </w:rPr>
        <w:t>Social Class</w:t>
      </w:r>
      <w:r w:rsidRPr="00B05F04">
        <w:rPr>
          <w:sz w:val="20"/>
          <w:szCs w:val="20"/>
          <w:lang w:val="en-US"/>
        </w:rPr>
        <w:t>.</w:t>
      </w:r>
    </w:p>
    <w:p w14:paraId="360C1C03" w14:textId="77777777" w:rsidR="000971AC" w:rsidRPr="000971AC" w:rsidRDefault="000971AC" w:rsidP="000971AC">
      <w:pPr>
        <w:spacing w:line="360" w:lineRule="auto"/>
        <w:rPr>
          <w:lang w:val="en-US"/>
        </w:rPr>
      </w:pPr>
    </w:p>
    <w:p w14:paraId="29682F79" w14:textId="3CF7812D" w:rsidR="005D3F62" w:rsidRPr="000971AC" w:rsidRDefault="009A68B0" w:rsidP="000971AC">
      <w:pPr>
        <w:spacing w:line="360" w:lineRule="auto"/>
        <w:rPr>
          <w:b/>
          <w:sz w:val="24"/>
          <w:szCs w:val="24"/>
        </w:rPr>
      </w:pPr>
      <w:r w:rsidRPr="000971AC">
        <w:rPr>
          <w:lang w:val="en-US"/>
        </w:rPr>
        <w:br w:type="page"/>
      </w:r>
      <w:r w:rsidR="000F62AB">
        <w:rPr>
          <w:b/>
          <w:bCs/>
          <w:lang w:val="en-US"/>
        </w:rPr>
        <w:lastRenderedPageBreak/>
        <w:t xml:space="preserve">1.         </w:t>
      </w:r>
      <w:r w:rsidRPr="000971AC">
        <w:rPr>
          <w:b/>
          <w:sz w:val="24"/>
          <w:szCs w:val="24"/>
        </w:rPr>
        <w:t>INTRODUÇÃO</w:t>
      </w:r>
    </w:p>
    <w:p w14:paraId="65718CB8" w14:textId="77777777" w:rsidR="00294414" w:rsidRPr="00294414" w:rsidRDefault="00294414" w:rsidP="00294414">
      <w:pPr>
        <w:spacing w:line="360" w:lineRule="auto"/>
        <w:ind w:firstLine="709"/>
        <w:jc w:val="both"/>
        <w:rPr>
          <w:bCs/>
          <w:sz w:val="24"/>
          <w:szCs w:val="24"/>
        </w:rPr>
      </w:pPr>
      <w:bookmarkStart w:id="0" w:name="_sn6a3bul10sg" w:colFirst="0" w:colLast="0"/>
      <w:bookmarkEnd w:id="0"/>
      <w:r w:rsidRPr="00294414">
        <w:rPr>
          <w:bCs/>
          <w:sz w:val="24"/>
          <w:szCs w:val="24"/>
        </w:rPr>
        <w:t>Desde sua constituição histórica, o Estado assumiu o papel de organizar e administrar os interesses das classes sociais, garantindo as condições para a reprodução das relações capitalistas. Com o tempo, além de preservar a ordem, passou a implementar políticas públicas que funcionam como instrumentos para mitigar as contradições do sistema e assegurar sua continuidade, o que demanda recursos para o funcionamento estatal e implementação de políticas, inserindo a arrecadação estatal no centro das disputas políticas e sociais.</w:t>
      </w:r>
    </w:p>
    <w:p w14:paraId="50304D7A" w14:textId="66C41EC4" w:rsidR="00294414" w:rsidRPr="00294414" w:rsidRDefault="00294414" w:rsidP="00294414">
      <w:pPr>
        <w:spacing w:line="360" w:lineRule="auto"/>
        <w:ind w:firstLine="709"/>
        <w:jc w:val="both"/>
        <w:rPr>
          <w:bCs/>
          <w:sz w:val="24"/>
          <w:szCs w:val="24"/>
        </w:rPr>
      </w:pPr>
      <w:r w:rsidRPr="00294414">
        <w:rPr>
          <w:bCs/>
          <w:sz w:val="24"/>
          <w:szCs w:val="24"/>
        </w:rPr>
        <w:t>Essas disputas são indissociáveis da estrutura de classes da sociedade capitalista, na qual, segundo a tradição marxista, distinguem-se aqueles que detêm os meios de produção e aqueles que vendem sua força de trabalho. O Estado, nesse processo, atua como mediador, condicionado pelas forças sociais e pelo viés de classe que orienta as decisões políticas e econômicas (</w:t>
      </w:r>
      <w:proofErr w:type="spellStart"/>
      <w:r w:rsidRPr="00294414">
        <w:rPr>
          <w:bCs/>
          <w:sz w:val="24"/>
          <w:szCs w:val="24"/>
        </w:rPr>
        <w:t>Poulantzas</w:t>
      </w:r>
      <w:proofErr w:type="spellEnd"/>
      <w:r w:rsidRPr="00294414">
        <w:rPr>
          <w:bCs/>
          <w:sz w:val="24"/>
          <w:szCs w:val="24"/>
        </w:rPr>
        <w:t>, 1977).</w:t>
      </w:r>
    </w:p>
    <w:p w14:paraId="68192AF8" w14:textId="035D53DF" w:rsidR="00294414" w:rsidRPr="00294414" w:rsidRDefault="00294414" w:rsidP="00294414">
      <w:pPr>
        <w:spacing w:line="360" w:lineRule="auto"/>
        <w:ind w:firstLine="709"/>
        <w:jc w:val="both"/>
        <w:rPr>
          <w:bCs/>
          <w:sz w:val="24"/>
          <w:szCs w:val="24"/>
        </w:rPr>
      </w:pPr>
      <w:r w:rsidRPr="00294414">
        <w:rPr>
          <w:bCs/>
          <w:sz w:val="24"/>
          <w:szCs w:val="24"/>
        </w:rPr>
        <w:t xml:space="preserve">Nesse contexto, destaca-se o fundo público, responsável pelo financiamento estatal e expressão das disputas sobre quem paga e quem se beneficia (Salvador, 2010). Sua principal fonte </w:t>
      </w:r>
      <w:r w:rsidR="00153C9B">
        <w:rPr>
          <w:bCs/>
          <w:sz w:val="24"/>
          <w:szCs w:val="24"/>
        </w:rPr>
        <w:t>é</w:t>
      </w:r>
      <w:r w:rsidRPr="00294414">
        <w:rPr>
          <w:bCs/>
          <w:sz w:val="24"/>
          <w:szCs w:val="24"/>
        </w:rPr>
        <w:t xml:space="preserve"> a arrecadação tributária e as contribuições sociais (Piscitelli; Timbó, 2019). A estrutura tributária define quem arca com maior ônus, podendo aprofundar ou reduzir desigualdades, de modo que a política fiscal, ao escolher suas bases de incidência, influencia diretamente a distribuição de renda e as tensões sociais.</w:t>
      </w:r>
    </w:p>
    <w:p w14:paraId="28924A48" w14:textId="77777777" w:rsidR="00294414" w:rsidRPr="00294414" w:rsidRDefault="00294414" w:rsidP="00294414">
      <w:pPr>
        <w:spacing w:line="360" w:lineRule="auto"/>
        <w:ind w:firstLine="709"/>
        <w:jc w:val="both"/>
        <w:rPr>
          <w:bCs/>
          <w:sz w:val="24"/>
          <w:szCs w:val="24"/>
        </w:rPr>
      </w:pPr>
      <w:r w:rsidRPr="00294414">
        <w:rPr>
          <w:bCs/>
          <w:sz w:val="24"/>
          <w:szCs w:val="24"/>
        </w:rPr>
        <w:t>Diante desse cenário, a questão central que se coloca é: qual a composição da receita pública da União e quais classes sociais foram mais oneradas na constituição do fundo público federal no biênio 2023-2024? O objetivo desta pesquisa consiste em analisar a estrutura dessas receitas e seus efeitos sobre as classes sociais no período, evidenciando as disputas inerentes à sua arrecadação.</w:t>
      </w:r>
    </w:p>
    <w:p w14:paraId="0F386C00" w14:textId="1DAA9130" w:rsidR="00294414" w:rsidRPr="00294414" w:rsidRDefault="00294414" w:rsidP="00294414">
      <w:pPr>
        <w:spacing w:line="360" w:lineRule="auto"/>
        <w:ind w:firstLine="709"/>
        <w:jc w:val="both"/>
        <w:rPr>
          <w:bCs/>
          <w:sz w:val="24"/>
          <w:szCs w:val="24"/>
        </w:rPr>
      </w:pPr>
      <w:r w:rsidRPr="00294414">
        <w:rPr>
          <w:bCs/>
          <w:sz w:val="24"/>
          <w:szCs w:val="24"/>
        </w:rPr>
        <w:t xml:space="preserve">Metodologicamente, partiu-se de uma pesquisa bibliográfica de categorias de tradição marxista, como Estado; </w:t>
      </w:r>
      <w:r w:rsidR="007E6540">
        <w:rPr>
          <w:bCs/>
          <w:sz w:val="24"/>
          <w:szCs w:val="24"/>
        </w:rPr>
        <w:t>C</w:t>
      </w:r>
      <w:r w:rsidRPr="00294414">
        <w:rPr>
          <w:bCs/>
          <w:sz w:val="24"/>
          <w:szCs w:val="24"/>
        </w:rPr>
        <w:t>lasses</w:t>
      </w:r>
      <w:r w:rsidR="007E6540">
        <w:rPr>
          <w:bCs/>
          <w:sz w:val="24"/>
          <w:szCs w:val="24"/>
        </w:rPr>
        <w:t xml:space="preserve"> Sociais</w:t>
      </w:r>
      <w:r w:rsidRPr="00294414">
        <w:rPr>
          <w:bCs/>
          <w:sz w:val="24"/>
          <w:szCs w:val="24"/>
        </w:rPr>
        <w:t xml:space="preserve">; </w:t>
      </w:r>
      <w:r w:rsidR="00884F5F" w:rsidRPr="00294414">
        <w:rPr>
          <w:bCs/>
          <w:sz w:val="24"/>
          <w:szCs w:val="24"/>
        </w:rPr>
        <w:t>Fundo público</w:t>
      </w:r>
      <w:r w:rsidR="00884F5F">
        <w:rPr>
          <w:bCs/>
          <w:sz w:val="24"/>
          <w:szCs w:val="24"/>
        </w:rPr>
        <w:t>;</w:t>
      </w:r>
      <w:r w:rsidR="00884F5F" w:rsidRPr="00294414">
        <w:rPr>
          <w:bCs/>
          <w:sz w:val="24"/>
          <w:szCs w:val="24"/>
        </w:rPr>
        <w:t xml:space="preserve"> </w:t>
      </w:r>
      <w:r w:rsidRPr="00294414">
        <w:rPr>
          <w:bCs/>
          <w:sz w:val="24"/>
          <w:szCs w:val="24"/>
        </w:rPr>
        <w:t xml:space="preserve">Orçamento público e Receita pública. Adjunto de uma pesquisa documental na base de dados do Sistema </w:t>
      </w:r>
      <w:r w:rsidRPr="00294414">
        <w:rPr>
          <w:bCs/>
          <w:sz w:val="24"/>
          <w:szCs w:val="24"/>
        </w:rPr>
        <w:lastRenderedPageBreak/>
        <w:t>de Informações sobre o Orçamento Público Federal (SIGA Brasil), desenvolvido pelo Senado Federal.</w:t>
      </w:r>
    </w:p>
    <w:p w14:paraId="0293E630" w14:textId="77777777" w:rsidR="00294414" w:rsidRPr="00294414" w:rsidRDefault="00294414" w:rsidP="00294414">
      <w:pPr>
        <w:spacing w:line="360" w:lineRule="auto"/>
        <w:ind w:firstLine="709"/>
        <w:jc w:val="both"/>
        <w:rPr>
          <w:bCs/>
          <w:sz w:val="24"/>
          <w:szCs w:val="24"/>
        </w:rPr>
      </w:pPr>
      <w:r w:rsidRPr="00294414">
        <w:rPr>
          <w:bCs/>
          <w:sz w:val="24"/>
          <w:szCs w:val="24"/>
        </w:rPr>
        <w:t> Esses dados foram organizados e tabulados em planilhas eletrônicas, deflacionados pelo Índice Geral de Preços–Disponibilidade Interna (IGP-DI), desenvolvida pela Fundação Getúlio Vargas (FGV), tendo como base o ano de 2024. Foram analisados a partir do método da estatística descritiva, utilizando uma análise horizontal para verificar o comportamento das variáveis de receita ao longo do biênio: Receita Orçamentária Total (ROT), Receita Corrente, Receita de Capital, suas composições e seus efeitos nas classes sociais.</w:t>
      </w:r>
    </w:p>
    <w:p w14:paraId="3BE4BD09" w14:textId="0048BB93" w:rsidR="005D3F62" w:rsidRPr="00E67687" w:rsidRDefault="00294414" w:rsidP="00D630DC">
      <w:pPr>
        <w:spacing w:line="360" w:lineRule="auto"/>
        <w:ind w:firstLine="709"/>
        <w:jc w:val="both"/>
        <w:rPr>
          <w:bCs/>
          <w:sz w:val="24"/>
          <w:szCs w:val="24"/>
        </w:rPr>
      </w:pPr>
      <w:r w:rsidRPr="00294414">
        <w:rPr>
          <w:bCs/>
          <w:sz w:val="24"/>
          <w:szCs w:val="24"/>
        </w:rPr>
        <w:t>Este artigo está organizado, para além da introdução e conclusão, em seções que discutem Estado, Fundo Público e Receita pública e os Resultados das coletas de dados. </w:t>
      </w:r>
    </w:p>
    <w:p w14:paraId="7403EECE" w14:textId="3F3C1D9C" w:rsidR="005D3F62" w:rsidRPr="00E67687" w:rsidRDefault="009A68B0">
      <w:pPr>
        <w:spacing w:line="360" w:lineRule="auto"/>
        <w:jc w:val="both"/>
        <w:rPr>
          <w:b/>
          <w:sz w:val="24"/>
          <w:szCs w:val="24"/>
        </w:rPr>
      </w:pPr>
      <w:r>
        <w:rPr>
          <w:b/>
          <w:sz w:val="24"/>
          <w:szCs w:val="24"/>
        </w:rPr>
        <w:t>2</w:t>
      </w:r>
      <w:r>
        <w:tab/>
      </w:r>
      <w:r w:rsidR="00D35022">
        <w:rPr>
          <w:b/>
          <w:sz w:val="24"/>
          <w:szCs w:val="24"/>
        </w:rPr>
        <w:t>BASES TÉORICAS E EMPIRICAS</w:t>
      </w:r>
    </w:p>
    <w:p w14:paraId="5D4F9804" w14:textId="475FBF56" w:rsidR="005D3F62" w:rsidRPr="00E67687" w:rsidRDefault="009A68B0">
      <w:pPr>
        <w:spacing w:line="360" w:lineRule="auto"/>
        <w:jc w:val="both"/>
        <w:rPr>
          <w:b/>
          <w:sz w:val="24"/>
          <w:szCs w:val="24"/>
        </w:rPr>
      </w:pPr>
      <w:r>
        <w:rPr>
          <w:b/>
          <w:sz w:val="24"/>
          <w:szCs w:val="24"/>
        </w:rPr>
        <w:t>2.1</w:t>
      </w:r>
      <w:r>
        <w:rPr>
          <w:b/>
          <w:sz w:val="24"/>
          <w:szCs w:val="24"/>
        </w:rPr>
        <w:tab/>
      </w:r>
      <w:r w:rsidR="000B6F1F">
        <w:rPr>
          <w:b/>
          <w:sz w:val="24"/>
          <w:szCs w:val="24"/>
        </w:rPr>
        <w:t>Estado, fundo público e receita pública</w:t>
      </w:r>
    </w:p>
    <w:p w14:paraId="095A6EE1" w14:textId="77777777" w:rsidR="00294414" w:rsidRPr="00294414" w:rsidRDefault="00294414" w:rsidP="00294414">
      <w:pPr>
        <w:spacing w:line="360" w:lineRule="auto"/>
        <w:ind w:firstLine="720"/>
        <w:jc w:val="both"/>
        <w:rPr>
          <w:sz w:val="24"/>
          <w:szCs w:val="24"/>
        </w:rPr>
      </w:pPr>
      <w:r w:rsidRPr="00294414">
        <w:rPr>
          <w:sz w:val="24"/>
          <w:szCs w:val="24"/>
        </w:rPr>
        <w:t>A compreensão das finanças públicas, especialmente quanto à formação do fundo público e à arrecadação estatal, exige a definição rigorosa dos conceitos de Estado e classes sociais, categorias essenciais para a dinâmica de apropriação e distribuição dos recursos públicos em sociedades capitalistas. O Estado, enquanto entidade política, jurídica e administrativa, desempenha papel central na organização social e na execução de políticas públicas, embora sua concepção varie conforme contextos históricos, políticos e econômicos. Weber (1999) o define como relação de dominação baseada na violência legítima sobre um território, sustentada por mecanismos de legitimação internos e externos.</w:t>
      </w:r>
    </w:p>
    <w:p w14:paraId="6D5C5C1E" w14:textId="77777777" w:rsidR="00294414" w:rsidRPr="00294414" w:rsidRDefault="00294414" w:rsidP="00294414">
      <w:pPr>
        <w:spacing w:line="360" w:lineRule="auto"/>
        <w:ind w:firstLine="720"/>
        <w:jc w:val="both"/>
        <w:rPr>
          <w:sz w:val="24"/>
          <w:szCs w:val="24"/>
        </w:rPr>
      </w:pPr>
      <w:r w:rsidRPr="00294414">
        <w:rPr>
          <w:sz w:val="24"/>
          <w:szCs w:val="24"/>
        </w:rPr>
        <w:t>Na tradição liberal, o Estado garante as condições para o funcionamento livre dos mercados, opondo-se a privilégios do absolutismo, sendo a prosperidade nacional fruto da livre circulação de mercadorias, conforme o liberalismo econômico clássico (Smith, 1988). Em contraponto, a concepção marxista entende o Estado como instrumento de dominação de classe, por meio do qual a burguesia perpetua sua hegemo</w:t>
      </w:r>
      <w:r w:rsidRPr="00294414">
        <w:rPr>
          <w:sz w:val="24"/>
          <w:szCs w:val="24"/>
        </w:rPr>
        <w:lastRenderedPageBreak/>
        <w:t>nia (Marx e Engels, 1977; 2018). Engels (2019) destaca o Estado como produto histórico das contradições sociais, e Lênin (1918) o concebe como mecanismo de coerção para manter interesses da classe dominante.</w:t>
      </w:r>
    </w:p>
    <w:p w14:paraId="0B46D573" w14:textId="0A928A69" w:rsidR="00294414" w:rsidRPr="00294414" w:rsidRDefault="00294414" w:rsidP="00294414">
      <w:pPr>
        <w:spacing w:line="360" w:lineRule="auto"/>
        <w:ind w:firstLine="720"/>
        <w:jc w:val="both"/>
        <w:rPr>
          <w:sz w:val="24"/>
          <w:szCs w:val="24"/>
        </w:rPr>
      </w:pPr>
      <w:r w:rsidRPr="00294414">
        <w:rPr>
          <w:sz w:val="24"/>
          <w:szCs w:val="24"/>
        </w:rPr>
        <w:t xml:space="preserve">As classes sociais, conforme </w:t>
      </w:r>
      <w:proofErr w:type="spellStart"/>
      <w:r w:rsidRPr="00294414">
        <w:rPr>
          <w:sz w:val="24"/>
          <w:szCs w:val="24"/>
        </w:rPr>
        <w:t>Poulantzas</w:t>
      </w:r>
      <w:proofErr w:type="spellEnd"/>
      <w:r w:rsidRPr="00294414">
        <w:rPr>
          <w:sz w:val="24"/>
          <w:szCs w:val="24"/>
        </w:rPr>
        <w:t xml:space="preserve"> (1977), definem-se pela posição no processo produtivo, entre detentores dos meios de produção e vendedores de força de trabalho. </w:t>
      </w:r>
      <w:r w:rsidR="00B05F04">
        <w:rPr>
          <w:sz w:val="24"/>
          <w:szCs w:val="24"/>
        </w:rPr>
        <w:t>Ainda segundo o autor, e</w:t>
      </w:r>
      <w:r w:rsidRPr="00294414">
        <w:rPr>
          <w:sz w:val="24"/>
          <w:szCs w:val="24"/>
        </w:rPr>
        <w:t>ssa divisão repercute nas políticas fiscais e orçamentárias, pois arrecadação e destinação de recursos refletem as relações de força entre classes, com o Estado mediando os conflitos, porém condicionado aos interesses dominantes</w:t>
      </w:r>
      <w:r w:rsidR="00153C9B">
        <w:rPr>
          <w:sz w:val="24"/>
          <w:szCs w:val="24"/>
        </w:rPr>
        <w:t xml:space="preserve">. </w:t>
      </w:r>
      <w:r w:rsidRPr="00294414">
        <w:rPr>
          <w:sz w:val="24"/>
          <w:szCs w:val="24"/>
        </w:rPr>
        <w:t>Nesse contexto, o fundo público torna-se uma expressão concreta das disputas entre classes, pois é a partir da correlação de forças entre elas que se define quem financia, como e para quem se destina esse recurso coletivo.</w:t>
      </w:r>
    </w:p>
    <w:p w14:paraId="33C988E7" w14:textId="77777777" w:rsidR="000A3879" w:rsidRDefault="00294414" w:rsidP="00294414">
      <w:pPr>
        <w:spacing w:line="360" w:lineRule="auto"/>
        <w:ind w:firstLine="720"/>
        <w:jc w:val="both"/>
        <w:rPr>
          <w:sz w:val="24"/>
          <w:szCs w:val="24"/>
        </w:rPr>
      </w:pPr>
      <w:r w:rsidRPr="00294414">
        <w:rPr>
          <w:sz w:val="24"/>
          <w:szCs w:val="24"/>
        </w:rPr>
        <w:t xml:space="preserve">O fundo público, conjunto de recursos para financiar atividades estatais, expressa essas disputas. Behring e Boschetti (2011) o caracterizam como resultado da apropriação compulsória da mais-valia socialmente produzida, incidindo sobre lucro, renda do capital e salários via tributos. E a objetivação do fundo público se mostra através do orçamento público. </w:t>
      </w:r>
    </w:p>
    <w:p w14:paraId="37775BA5" w14:textId="0BF43CB4" w:rsidR="00294414" w:rsidRPr="00294414" w:rsidRDefault="00294414" w:rsidP="00294414">
      <w:pPr>
        <w:spacing w:line="360" w:lineRule="auto"/>
        <w:ind w:firstLine="720"/>
        <w:jc w:val="both"/>
        <w:rPr>
          <w:sz w:val="24"/>
          <w:szCs w:val="24"/>
        </w:rPr>
      </w:pPr>
      <w:r w:rsidRPr="00294414">
        <w:rPr>
          <w:sz w:val="24"/>
          <w:szCs w:val="24"/>
        </w:rPr>
        <w:t xml:space="preserve">A partir disso, o </w:t>
      </w:r>
      <w:r w:rsidR="00047185">
        <w:rPr>
          <w:sz w:val="24"/>
          <w:szCs w:val="24"/>
        </w:rPr>
        <w:t>o</w:t>
      </w:r>
      <w:r w:rsidRPr="00294414">
        <w:rPr>
          <w:sz w:val="24"/>
          <w:szCs w:val="24"/>
        </w:rPr>
        <w:t xml:space="preserve">rçamento </w:t>
      </w:r>
      <w:r w:rsidR="003D4A33">
        <w:rPr>
          <w:sz w:val="24"/>
          <w:szCs w:val="24"/>
        </w:rPr>
        <w:t>p</w:t>
      </w:r>
      <w:r w:rsidRPr="00294414">
        <w:rPr>
          <w:sz w:val="24"/>
          <w:szCs w:val="24"/>
        </w:rPr>
        <w:t>úblico, mais que instrumento técnico, segundo Alencar Jr. (2021), é onde se manifestam de fato as forças predominantes, definindo fontes, montantes e despesas conforme os interesses destas classes. Nesse sentido, o orçamento se insere no campo mais amplo das finanças públicas, funcionando como a principal ferramenta de planejamento e execução das ações estatais. É por meio dele que se operacionaliza a arrecadação e a alocação dos recursos públicos, refletindo as escolhas políticas e econômicas do Estado.</w:t>
      </w:r>
    </w:p>
    <w:p w14:paraId="79038BA0" w14:textId="70454821" w:rsidR="00294414" w:rsidRPr="00294414" w:rsidRDefault="00294414" w:rsidP="00294414">
      <w:pPr>
        <w:spacing w:line="360" w:lineRule="auto"/>
        <w:ind w:firstLine="720"/>
        <w:jc w:val="both"/>
        <w:rPr>
          <w:sz w:val="24"/>
          <w:szCs w:val="24"/>
        </w:rPr>
      </w:pPr>
      <w:r w:rsidRPr="00294414">
        <w:rPr>
          <w:sz w:val="24"/>
          <w:szCs w:val="24"/>
        </w:rPr>
        <w:t>No campo das finanças públicas, a receita pública é o ingresso de recursos ao patrimônio estatal, dividida em correntes e de capital</w:t>
      </w:r>
      <w:r w:rsidR="00B05F04">
        <w:rPr>
          <w:sz w:val="24"/>
          <w:szCs w:val="24"/>
        </w:rPr>
        <w:t>. E</w:t>
      </w:r>
      <w:r w:rsidRPr="00294414">
        <w:rPr>
          <w:sz w:val="24"/>
          <w:szCs w:val="24"/>
        </w:rPr>
        <w:t xml:space="preserve">sta última está relacionada ao financiamento das despesas de capital e </w:t>
      </w:r>
      <w:r w:rsidR="00B05F04">
        <w:rPr>
          <w:sz w:val="24"/>
          <w:szCs w:val="24"/>
        </w:rPr>
        <w:t xml:space="preserve">se constitui </w:t>
      </w:r>
      <w:r w:rsidRPr="00294414">
        <w:rPr>
          <w:sz w:val="24"/>
          <w:szCs w:val="24"/>
        </w:rPr>
        <w:t xml:space="preserve">pelo somatório de operações de crédito, alienação de bens, amortização de empréstimos e transferências de capital (Piscitelli; Timbó, 2019). </w:t>
      </w:r>
      <w:r w:rsidR="00B05F04">
        <w:rPr>
          <w:sz w:val="24"/>
          <w:szCs w:val="24"/>
        </w:rPr>
        <w:t>Ainda s</w:t>
      </w:r>
      <w:r w:rsidRPr="00294414">
        <w:rPr>
          <w:sz w:val="24"/>
          <w:szCs w:val="24"/>
        </w:rPr>
        <w:t xml:space="preserve">egundo </w:t>
      </w:r>
      <w:r w:rsidR="00B05F04">
        <w:rPr>
          <w:sz w:val="24"/>
          <w:szCs w:val="24"/>
        </w:rPr>
        <w:t>os autores</w:t>
      </w:r>
      <w:r w:rsidRPr="00294414">
        <w:rPr>
          <w:sz w:val="24"/>
          <w:szCs w:val="24"/>
        </w:rPr>
        <w:t>, a receita corrente se dá pelo so</w:t>
      </w:r>
      <w:r w:rsidRPr="00294414">
        <w:rPr>
          <w:sz w:val="24"/>
          <w:szCs w:val="24"/>
        </w:rPr>
        <w:lastRenderedPageBreak/>
        <w:t xml:space="preserve">matório das receitas tributárias, </w:t>
      </w:r>
      <w:r w:rsidR="00A24F10">
        <w:rPr>
          <w:sz w:val="24"/>
          <w:szCs w:val="24"/>
        </w:rPr>
        <w:t xml:space="preserve">de transferências correntes, de </w:t>
      </w:r>
      <w:r w:rsidRPr="00294414">
        <w:rPr>
          <w:sz w:val="24"/>
          <w:szCs w:val="24"/>
        </w:rPr>
        <w:t>contribuições, patrimonial, agropecuária, industrial</w:t>
      </w:r>
      <w:r w:rsidR="00A24F10">
        <w:rPr>
          <w:sz w:val="24"/>
          <w:szCs w:val="24"/>
        </w:rPr>
        <w:t>, de serviços</w:t>
      </w:r>
      <w:r w:rsidRPr="00294414">
        <w:rPr>
          <w:sz w:val="24"/>
          <w:szCs w:val="24"/>
        </w:rPr>
        <w:t xml:space="preserve"> e financiadora da despesa corrente. Por fim, a Receita Orçamentária Total (ROT) é o somatório da receita corrente e capital. </w:t>
      </w:r>
    </w:p>
    <w:p w14:paraId="18106C4B" w14:textId="2F1828C7" w:rsidR="00294414" w:rsidRPr="00294414" w:rsidRDefault="00294414" w:rsidP="00294414">
      <w:pPr>
        <w:spacing w:line="360" w:lineRule="auto"/>
        <w:ind w:firstLine="720"/>
        <w:jc w:val="both"/>
        <w:rPr>
          <w:sz w:val="24"/>
          <w:szCs w:val="24"/>
        </w:rPr>
      </w:pPr>
      <w:r w:rsidRPr="00294414">
        <w:rPr>
          <w:sz w:val="24"/>
          <w:szCs w:val="24"/>
        </w:rPr>
        <w:t xml:space="preserve">Na receita corrente, as receitas tributárias incluem impostos, taxas e contribuições de melhoria, </w:t>
      </w:r>
      <w:r w:rsidR="00A24F10">
        <w:rPr>
          <w:sz w:val="24"/>
          <w:szCs w:val="24"/>
        </w:rPr>
        <w:t xml:space="preserve">são </w:t>
      </w:r>
      <w:r w:rsidRPr="00294414">
        <w:rPr>
          <w:sz w:val="24"/>
          <w:szCs w:val="24"/>
        </w:rPr>
        <w:t>instituídas por lei</w:t>
      </w:r>
      <w:r w:rsidR="00A24F10">
        <w:rPr>
          <w:sz w:val="24"/>
          <w:szCs w:val="24"/>
        </w:rPr>
        <w:t xml:space="preserve"> e sua maior ou menor arrecadação possibilita maior ou menor autonomia para financiar as políticas públicas estatais</w:t>
      </w:r>
      <w:r w:rsidRPr="00294414">
        <w:rPr>
          <w:sz w:val="24"/>
          <w:szCs w:val="24"/>
        </w:rPr>
        <w:t xml:space="preserve"> (</w:t>
      </w:r>
      <w:proofErr w:type="spellStart"/>
      <w:r w:rsidRPr="00294414">
        <w:rPr>
          <w:sz w:val="24"/>
          <w:szCs w:val="24"/>
        </w:rPr>
        <w:t>Giacomoni</w:t>
      </w:r>
      <w:proofErr w:type="spellEnd"/>
      <w:r w:rsidRPr="00294414">
        <w:rPr>
          <w:sz w:val="24"/>
          <w:szCs w:val="24"/>
        </w:rPr>
        <w:t xml:space="preserve">, 2010). O Imposto, segundo Oliveira (2009), </w:t>
      </w:r>
      <w:r w:rsidR="003D4A33" w:rsidRPr="003D4A33">
        <w:rPr>
          <w:sz w:val="24"/>
          <w:szCs w:val="24"/>
        </w:rPr>
        <w:t>é uma contribuição obrigatória estabelecida e exigida pelo Estado para custear as atividades que lhe são designadas pela sociedade</w:t>
      </w:r>
      <w:r w:rsidR="003D4A33">
        <w:rPr>
          <w:sz w:val="24"/>
          <w:szCs w:val="24"/>
        </w:rPr>
        <w:t>.</w:t>
      </w:r>
    </w:p>
    <w:p w14:paraId="491733C4" w14:textId="3D283E7F" w:rsidR="00294414" w:rsidRPr="00294414" w:rsidRDefault="00294414" w:rsidP="00294414">
      <w:pPr>
        <w:spacing w:line="360" w:lineRule="auto"/>
        <w:ind w:firstLine="720"/>
        <w:jc w:val="both"/>
        <w:rPr>
          <w:sz w:val="24"/>
          <w:szCs w:val="24"/>
        </w:rPr>
      </w:pPr>
      <w:r w:rsidRPr="00294414">
        <w:rPr>
          <w:sz w:val="24"/>
          <w:szCs w:val="24"/>
        </w:rPr>
        <w:t xml:space="preserve">Os impostos </w:t>
      </w:r>
      <w:r w:rsidR="00A24F10">
        <w:rPr>
          <w:sz w:val="24"/>
          <w:szCs w:val="24"/>
        </w:rPr>
        <w:t xml:space="preserve">podem se </w:t>
      </w:r>
      <w:r w:rsidRPr="00294414">
        <w:rPr>
          <w:sz w:val="24"/>
          <w:szCs w:val="24"/>
        </w:rPr>
        <w:t>classifica</w:t>
      </w:r>
      <w:r w:rsidR="00A24F10">
        <w:rPr>
          <w:sz w:val="24"/>
          <w:szCs w:val="24"/>
        </w:rPr>
        <w:t xml:space="preserve">r </w:t>
      </w:r>
      <w:r w:rsidRPr="00294414">
        <w:rPr>
          <w:sz w:val="24"/>
          <w:szCs w:val="24"/>
        </w:rPr>
        <w:t>em diretos</w:t>
      </w:r>
      <w:r w:rsidR="00A24F10">
        <w:rPr>
          <w:sz w:val="24"/>
          <w:szCs w:val="24"/>
        </w:rPr>
        <w:t xml:space="preserve"> e indiretos. Os diretos e de competência da União</w:t>
      </w:r>
      <w:r w:rsidRPr="00294414">
        <w:rPr>
          <w:sz w:val="24"/>
          <w:szCs w:val="24"/>
        </w:rPr>
        <w:t xml:space="preserve">, que incidem sobre renda e patrimônio, </w:t>
      </w:r>
      <w:r w:rsidR="00A24F10">
        <w:rPr>
          <w:sz w:val="24"/>
          <w:szCs w:val="24"/>
        </w:rPr>
        <w:t>são compostos pelos</w:t>
      </w:r>
      <w:r w:rsidRPr="00294414">
        <w:rPr>
          <w:sz w:val="24"/>
          <w:szCs w:val="24"/>
        </w:rPr>
        <w:t xml:space="preserve"> Imposto de Rend</w:t>
      </w:r>
      <w:r w:rsidR="00A87F0B">
        <w:rPr>
          <w:sz w:val="24"/>
          <w:szCs w:val="24"/>
        </w:rPr>
        <w:t>a,</w:t>
      </w:r>
      <w:r w:rsidRPr="00294414">
        <w:rPr>
          <w:sz w:val="24"/>
          <w:szCs w:val="24"/>
        </w:rPr>
        <w:t xml:space="preserve"> Imposto sobre a Propriedade Territorial Rural (ITR)</w:t>
      </w:r>
      <w:r w:rsidR="00A24F10">
        <w:rPr>
          <w:sz w:val="24"/>
          <w:szCs w:val="24"/>
        </w:rPr>
        <w:t xml:space="preserve"> e Imposto Sobre Grande Fortuna (IGF)</w:t>
      </w:r>
      <w:r w:rsidR="00FA732B">
        <w:rPr>
          <w:sz w:val="24"/>
          <w:szCs w:val="24"/>
        </w:rPr>
        <w:t>;</w:t>
      </w:r>
      <w:r w:rsidRPr="00294414">
        <w:rPr>
          <w:sz w:val="24"/>
          <w:szCs w:val="24"/>
        </w:rPr>
        <w:t xml:space="preserve"> e</w:t>
      </w:r>
      <w:r w:rsidR="00FA732B">
        <w:rPr>
          <w:sz w:val="24"/>
          <w:szCs w:val="24"/>
        </w:rPr>
        <w:t xml:space="preserve"> os</w:t>
      </w:r>
      <w:r w:rsidRPr="00294414">
        <w:rPr>
          <w:sz w:val="24"/>
          <w:szCs w:val="24"/>
        </w:rPr>
        <w:t xml:space="preserve"> indiretos, </w:t>
      </w:r>
      <w:r w:rsidR="00FA732B">
        <w:rPr>
          <w:sz w:val="24"/>
          <w:szCs w:val="24"/>
        </w:rPr>
        <w:t>incidentes sobre o consumo, serviços e a produção, financiados pelo consumidor</w:t>
      </w:r>
      <w:r w:rsidRPr="00294414">
        <w:rPr>
          <w:sz w:val="24"/>
          <w:szCs w:val="24"/>
        </w:rPr>
        <w:t xml:space="preserve">, </w:t>
      </w:r>
      <w:r w:rsidR="00FA732B">
        <w:rPr>
          <w:sz w:val="24"/>
          <w:szCs w:val="24"/>
        </w:rPr>
        <w:t>são formados pelo</w:t>
      </w:r>
      <w:r w:rsidRPr="00294414">
        <w:rPr>
          <w:sz w:val="24"/>
          <w:szCs w:val="24"/>
        </w:rPr>
        <w:t xml:space="preserve"> Imposto sobre Operações Financeiras (IOF)</w:t>
      </w:r>
      <w:r w:rsidR="000B6F1F">
        <w:rPr>
          <w:sz w:val="24"/>
          <w:szCs w:val="24"/>
        </w:rPr>
        <w:t>,</w:t>
      </w:r>
      <w:r w:rsidRPr="00294414">
        <w:rPr>
          <w:sz w:val="24"/>
          <w:szCs w:val="24"/>
        </w:rPr>
        <w:t xml:space="preserve"> Imposto sobre Produtos Industrializados (IPI)</w:t>
      </w:r>
      <w:r w:rsidR="000B6F1F">
        <w:rPr>
          <w:sz w:val="24"/>
          <w:szCs w:val="24"/>
        </w:rPr>
        <w:t>, Impostos de Importações (II) e Impostos de Exportações (IE)</w:t>
      </w:r>
      <w:r w:rsidRPr="00294414">
        <w:rPr>
          <w:sz w:val="24"/>
          <w:szCs w:val="24"/>
        </w:rPr>
        <w:t xml:space="preserve"> (Piscitelli; Timbó, 2019). </w:t>
      </w:r>
    </w:p>
    <w:p w14:paraId="1A29BABA" w14:textId="3F2AE586" w:rsidR="00294414" w:rsidRPr="00294414" w:rsidRDefault="00294414" w:rsidP="00294414">
      <w:pPr>
        <w:spacing w:line="360" w:lineRule="auto"/>
        <w:ind w:firstLine="720"/>
        <w:jc w:val="both"/>
        <w:rPr>
          <w:sz w:val="24"/>
          <w:szCs w:val="24"/>
        </w:rPr>
      </w:pPr>
      <w:r w:rsidRPr="00294414">
        <w:rPr>
          <w:sz w:val="24"/>
          <w:szCs w:val="24"/>
        </w:rPr>
        <w:t>Detalhando mais ainda, os impostos também podem ser divididos em progressivos e regressivos</w:t>
      </w:r>
      <w:r w:rsidR="00FA732B">
        <w:rPr>
          <w:sz w:val="24"/>
          <w:szCs w:val="24"/>
        </w:rPr>
        <w:t xml:space="preserve">. </w:t>
      </w:r>
      <w:r w:rsidR="009507EC">
        <w:rPr>
          <w:sz w:val="24"/>
          <w:szCs w:val="24"/>
        </w:rPr>
        <w:t>Os progressivos têm</w:t>
      </w:r>
      <w:r w:rsidR="00FA732B">
        <w:rPr>
          <w:sz w:val="24"/>
          <w:szCs w:val="24"/>
        </w:rPr>
        <w:t xml:space="preserve"> uma relação direta entre alíquota do imposto cobrada e renda e os regressivos possuem </w:t>
      </w:r>
      <w:r w:rsidR="009507EC">
        <w:rPr>
          <w:sz w:val="24"/>
          <w:szCs w:val="24"/>
        </w:rPr>
        <w:t>uma relação inversa.</w:t>
      </w:r>
      <w:r w:rsidR="00FA732B">
        <w:rPr>
          <w:sz w:val="24"/>
          <w:szCs w:val="24"/>
        </w:rPr>
        <w:t xml:space="preserve"> E</w:t>
      </w:r>
      <w:r w:rsidRPr="00294414">
        <w:rPr>
          <w:sz w:val="24"/>
          <w:szCs w:val="24"/>
        </w:rPr>
        <w:t>nquanto</w:t>
      </w:r>
      <w:r w:rsidR="00FA732B">
        <w:rPr>
          <w:sz w:val="24"/>
          <w:szCs w:val="24"/>
        </w:rPr>
        <w:t xml:space="preserve"> os primeiros oneram os contribuintes de mais alta renda, a classe burguesa, o segundo onera mais os de menor renda, a classe trabalhadora</w:t>
      </w:r>
      <w:r w:rsidRPr="00294414">
        <w:rPr>
          <w:sz w:val="24"/>
          <w:szCs w:val="24"/>
        </w:rPr>
        <w:t xml:space="preserve"> (Oliveira, 2009).</w:t>
      </w:r>
    </w:p>
    <w:p w14:paraId="4DED20D9" w14:textId="625B16A5" w:rsidR="00294414" w:rsidRPr="00294414" w:rsidRDefault="00294414" w:rsidP="00294414">
      <w:pPr>
        <w:spacing w:line="360" w:lineRule="auto"/>
        <w:ind w:firstLine="720"/>
        <w:jc w:val="both"/>
        <w:rPr>
          <w:sz w:val="24"/>
          <w:szCs w:val="24"/>
        </w:rPr>
      </w:pPr>
      <w:r w:rsidRPr="00294414">
        <w:rPr>
          <w:sz w:val="24"/>
          <w:szCs w:val="24"/>
        </w:rPr>
        <w:t xml:space="preserve">Outra receita importante dentro da receita corrente, é a de contribuições. Entre as contribuições, destacam-se Programa de Integração Social e o Programa de Formação do Patrimônio do Servidor Público (PIS/PASEP), Contribuição para Financiamento da Seguridade Social (COFINS), Contribuição Social Sobre o Lucro Líquido (CSLL), Regime Geral de Previdência Social (RGPS), que se subdivide principalmente em Contribuição previdenciária patronal e Contribuição previdenciária do segurado. CSLL, COFINS, PIS/PASEP e Contribuição previdenciária patronal funcionam como </w:t>
      </w:r>
      <w:r w:rsidRPr="00294414">
        <w:rPr>
          <w:sz w:val="24"/>
          <w:szCs w:val="24"/>
        </w:rPr>
        <w:lastRenderedPageBreak/>
        <w:t>impostos indiretos, cujos custos são repassados aos preços, onerando mais as classes de menor renda e ampliando a desigualdade tributária</w:t>
      </w:r>
      <w:r>
        <w:rPr>
          <w:sz w:val="24"/>
          <w:szCs w:val="24"/>
        </w:rPr>
        <w:t xml:space="preserve"> </w:t>
      </w:r>
      <w:r w:rsidRPr="00294414">
        <w:rPr>
          <w:sz w:val="24"/>
          <w:szCs w:val="24"/>
        </w:rPr>
        <w:t>(Piscitelli; Timbó, 2019).</w:t>
      </w:r>
    </w:p>
    <w:p w14:paraId="1D121647" w14:textId="77777777" w:rsidR="00294414" w:rsidRPr="00294414" w:rsidRDefault="00294414" w:rsidP="00294414">
      <w:pPr>
        <w:spacing w:line="360" w:lineRule="auto"/>
        <w:ind w:firstLine="720"/>
        <w:jc w:val="both"/>
        <w:rPr>
          <w:sz w:val="24"/>
          <w:szCs w:val="24"/>
        </w:rPr>
      </w:pPr>
      <w:r w:rsidRPr="00294414">
        <w:rPr>
          <w:sz w:val="24"/>
          <w:szCs w:val="24"/>
        </w:rPr>
        <w:t>Considerando isso, no Brasil, a disputa pelo fundo público intensificou-se após os anos 1990, com o avanço do projeto neoliberal que priorizou o ajuste fiscal e o capital financeiro (Behring; Boschetti, 2011). Segundo Behring e Boschetti (2011) orçamento passou a servir aos interesses da fração financeira da burguesia, enquanto a classe trabalhadora arca com a carga tributária crescente e perda de direitos, evidenciando as disputas de classe presentes na formação e destinação dos recursos públicos no Estado capitalista.</w:t>
      </w:r>
    </w:p>
    <w:p w14:paraId="0E711140" w14:textId="2A8B4564" w:rsidR="005D3F62" w:rsidRDefault="00294414" w:rsidP="00D630DC">
      <w:pPr>
        <w:spacing w:line="360" w:lineRule="auto"/>
        <w:ind w:firstLine="720"/>
        <w:jc w:val="both"/>
        <w:rPr>
          <w:sz w:val="24"/>
          <w:szCs w:val="24"/>
        </w:rPr>
      </w:pPr>
      <w:r w:rsidRPr="00294414">
        <w:rPr>
          <w:sz w:val="24"/>
          <w:szCs w:val="24"/>
        </w:rPr>
        <w:t xml:space="preserve">Diante da estrutura tributária </w:t>
      </w:r>
      <w:r w:rsidR="00FA732B">
        <w:rPr>
          <w:sz w:val="24"/>
          <w:szCs w:val="24"/>
        </w:rPr>
        <w:t xml:space="preserve">e </w:t>
      </w:r>
      <w:r w:rsidRPr="00294414">
        <w:rPr>
          <w:sz w:val="24"/>
          <w:szCs w:val="24"/>
        </w:rPr>
        <w:t xml:space="preserve">das contribuições federais, como se </w:t>
      </w:r>
      <w:r w:rsidR="00FA732B">
        <w:rPr>
          <w:sz w:val="24"/>
          <w:szCs w:val="24"/>
        </w:rPr>
        <w:t>apresentou</w:t>
      </w:r>
      <w:r w:rsidRPr="00294414">
        <w:rPr>
          <w:sz w:val="24"/>
          <w:szCs w:val="24"/>
        </w:rPr>
        <w:t xml:space="preserve"> a composição da receita pública da </w:t>
      </w:r>
      <w:r w:rsidR="00FA732B">
        <w:rPr>
          <w:sz w:val="24"/>
          <w:szCs w:val="24"/>
        </w:rPr>
        <w:t>U</w:t>
      </w:r>
      <w:r w:rsidRPr="00294414">
        <w:rPr>
          <w:sz w:val="24"/>
          <w:szCs w:val="24"/>
        </w:rPr>
        <w:t>nião no biênio 2023-2024?</w:t>
      </w:r>
    </w:p>
    <w:p w14:paraId="43D286BD" w14:textId="3BF1D406" w:rsidR="005D3F62" w:rsidRDefault="00633420">
      <w:pPr>
        <w:spacing w:line="360" w:lineRule="auto"/>
        <w:jc w:val="both"/>
        <w:rPr>
          <w:b/>
          <w:bCs/>
          <w:sz w:val="24"/>
          <w:szCs w:val="24"/>
        </w:rPr>
      </w:pPr>
      <w:r>
        <w:rPr>
          <w:b/>
          <w:bCs/>
          <w:sz w:val="24"/>
          <w:szCs w:val="24"/>
        </w:rPr>
        <w:t xml:space="preserve">2.2      </w:t>
      </w:r>
      <w:r w:rsidR="000B6F1F">
        <w:rPr>
          <w:b/>
          <w:bCs/>
          <w:sz w:val="24"/>
          <w:szCs w:val="24"/>
        </w:rPr>
        <w:t>C</w:t>
      </w:r>
      <w:r w:rsidR="00263EF3">
        <w:rPr>
          <w:b/>
          <w:bCs/>
          <w:sz w:val="24"/>
          <w:szCs w:val="24"/>
        </w:rPr>
        <w:t>omposição da receita pública da união no biênio 2023-2024</w:t>
      </w:r>
    </w:p>
    <w:p w14:paraId="49528A4E" w14:textId="0CF2084D" w:rsidR="00687E7B" w:rsidRPr="00687E7B" w:rsidRDefault="00687E7B" w:rsidP="00D630DC">
      <w:pPr>
        <w:spacing w:line="360" w:lineRule="auto"/>
        <w:ind w:firstLine="720"/>
        <w:jc w:val="both"/>
        <w:rPr>
          <w:noProof/>
          <w:sz w:val="24"/>
          <w:szCs w:val="24"/>
        </w:rPr>
      </w:pPr>
      <w:r w:rsidRPr="00687E7B">
        <w:rPr>
          <w:noProof/>
          <w:sz w:val="24"/>
          <w:szCs w:val="24"/>
        </w:rPr>
        <w:t xml:space="preserve">O objetivo da presente seção se volta a analisar a partir dos dados coletados a composição da receita pública, além da progressividade e regressividade da estrutura de formação da receita. A ROT da União apresentou </w:t>
      </w:r>
      <w:r w:rsidR="00047185">
        <w:rPr>
          <w:noProof/>
          <w:sz w:val="24"/>
          <w:szCs w:val="24"/>
        </w:rPr>
        <w:t>um</w:t>
      </w:r>
      <w:r w:rsidRPr="00687E7B">
        <w:rPr>
          <w:noProof/>
          <w:sz w:val="24"/>
          <w:szCs w:val="24"/>
        </w:rPr>
        <w:t xml:space="preserve"> montante </w:t>
      </w:r>
      <w:r w:rsidR="00047185">
        <w:rPr>
          <w:noProof/>
          <w:sz w:val="24"/>
          <w:szCs w:val="24"/>
        </w:rPr>
        <w:t>de R$</w:t>
      </w:r>
      <w:r w:rsidRPr="00687E7B">
        <w:rPr>
          <w:noProof/>
          <w:sz w:val="24"/>
          <w:szCs w:val="24"/>
        </w:rPr>
        <w:t xml:space="preserve"> 3,18 trilhões em 2023</w:t>
      </w:r>
      <w:r w:rsidR="009507EC">
        <w:rPr>
          <w:noProof/>
          <w:sz w:val="24"/>
          <w:szCs w:val="24"/>
        </w:rPr>
        <w:t xml:space="preserve"> </w:t>
      </w:r>
      <w:r w:rsidRPr="00687E7B">
        <w:rPr>
          <w:noProof/>
          <w:sz w:val="24"/>
          <w:szCs w:val="24"/>
        </w:rPr>
        <w:t>e  3,46 trilhões</w:t>
      </w:r>
      <w:r w:rsidR="00047185">
        <w:rPr>
          <w:noProof/>
          <w:sz w:val="24"/>
          <w:szCs w:val="24"/>
        </w:rPr>
        <w:t xml:space="preserve"> em 2024</w:t>
      </w:r>
      <w:r w:rsidRPr="00687E7B">
        <w:rPr>
          <w:noProof/>
          <w:sz w:val="24"/>
          <w:szCs w:val="24"/>
        </w:rPr>
        <w:t>, havendo um crescimento real de 8,71% no período</w:t>
      </w:r>
      <w:r w:rsidR="00047185">
        <w:rPr>
          <w:noProof/>
          <w:sz w:val="24"/>
          <w:szCs w:val="24"/>
        </w:rPr>
        <w:t>, conforme grafico 1</w:t>
      </w:r>
      <w:r w:rsidRPr="00687E7B">
        <w:rPr>
          <w:noProof/>
          <w:sz w:val="24"/>
          <w:szCs w:val="24"/>
        </w:rPr>
        <w:t>. </w:t>
      </w:r>
    </w:p>
    <w:p w14:paraId="0F7B6DF1" w14:textId="69FC7217" w:rsidR="00985A0A" w:rsidRDefault="009D141C" w:rsidP="009D141C">
      <w:pPr>
        <w:spacing w:line="360" w:lineRule="auto"/>
        <w:jc w:val="center"/>
        <w:rPr>
          <w:sz w:val="24"/>
          <w:szCs w:val="24"/>
        </w:rPr>
      </w:pPr>
      <w:r>
        <w:rPr>
          <w:noProof/>
        </w:rPr>
        <w:drawing>
          <wp:anchor distT="0" distB="0" distL="114300" distR="114300" simplePos="0" relativeHeight="251661824" behindDoc="0" locked="0" layoutInCell="1" allowOverlap="1" wp14:anchorId="66B4B914" wp14:editId="14B1BA18">
            <wp:simplePos x="0" y="0"/>
            <wp:positionH relativeFrom="page">
              <wp:align>center</wp:align>
            </wp:positionH>
            <wp:positionV relativeFrom="paragraph">
              <wp:posOffset>251460</wp:posOffset>
            </wp:positionV>
            <wp:extent cx="3535045" cy="1187450"/>
            <wp:effectExtent l="0" t="0" r="8255" b="12700"/>
            <wp:wrapTopAndBottom/>
            <wp:docPr id="2" name="Gráfico 2">
              <a:extLst xmlns:a="http://schemas.openxmlformats.org/drawingml/2006/main">
                <a:ext uri="{FF2B5EF4-FFF2-40B4-BE49-F238E27FC236}">
                  <a16:creationId xmlns:a16="http://schemas.microsoft.com/office/drawing/2014/main" id="{93AA22F7-0E47-074B-D6B6-2470C60CA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AC238C" w:rsidRPr="00E82001">
        <w:rPr>
          <w:b/>
          <w:bCs/>
          <w:sz w:val="24"/>
          <w:szCs w:val="24"/>
        </w:rPr>
        <w:t xml:space="preserve">Gráfico 1 </w:t>
      </w:r>
      <w:r w:rsidR="00214235" w:rsidRPr="00F915E7">
        <w:t xml:space="preserve">— </w:t>
      </w:r>
      <w:r w:rsidR="00AC238C" w:rsidRPr="00E82001">
        <w:rPr>
          <w:sz w:val="24"/>
          <w:szCs w:val="24"/>
        </w:rPr>
        <w:t>Evolução da Receit</w:t>
      </w:r>
      <w:r w:rsidR="007A5276">
        <w:rPr>
          <w:sz w:val="24"/>
          <w:szCs w:val="24"/>
        </w:rPr>
        <w:t>a</w:t>
      </w:r>
      <w:r w:rsidR="00AC238C" w:rsidRPr="00E82001">
        <w:rPr>
          <w:sz w:val="24"/>
          <w:szCs w:val="24"/>
        </w:rPr>
        <w:t xml:space="preserve"> Orçamentária</w:t>
      </w:r>
      <w:r w:rsidR="004E601D" w:rsidRPr="00E82001">
        <w:rPr>
          <w:sz w:val="24"/>
          <w:szCs w:val="24"/>
        </w:rPr>
        <w:t xml:space="preserve"> Total </w:t>
      </w:r>
      <w:r w:rsidR="00047185">
        <w:rPr>
          <w:sz w:val="24"/>
          <w:szCs w:val="24"/>
        </w:rPr>
        <w:t>da União em 2023-2024</w:t>
      </w:r>
    </w:p>
    <w:p w14:paraId="40DB6D27" w14:textId="4CEA9108" w:rsidR="00047185" w:rsidRDefault="00E82001" w:rsidP="00D630DC">
      <w:pPr>
        <w:spacing w:line="240" w:lineRule="auto"/>
        <w:jc w:val="center"/>
        <w:rPr>
          <w:sz w:val="24"/>
          <w:szCs w:val="24"/>
        </w:rPr>
      </w:pPr>
      <w:r w:rsidRPr="00D57E15">
        <w:rPr>
          <w:sz w:val="20"/>
          <w:szCs w:val="20"/>
        </w:rPr>
        <w:t>Fonte</w:t>
      </w:r>
      <w:r w:rsidR="00F11F80" w:rsidRPr="00D57E15">
        <w:rPr>
          <w:sz w:val="20"/>
          <w:szCs w:val="20"/>
        </w:rPr>
        <w:t xml:space="preserve">: Elaboração própria </w:t>
      </w:r>
      <w:r w:rsidR="002F1E95" w:rsidRPr="00D57E15">
        <w:rPr>
          <w:sz w:val="20"/>
          <w:szCs w:val="20"/>
        </w:rPr>
        <w:t>(SIGA, 2025</w:t>
      </w:r>
      <w:r w:rsidR="00F11F80" w:rsidRPr="00D57E15">
        <w:rPr>
          <w:sz w:val="20"/>
          <w:szCs w:val="20"/>
        </w:rPr>
        <w:t>)</w:t>
      </w:r>
    </w:p>
    <w:p w14:paraId="17117766" w14:textId="791ADB33" w:rsidR="00047185" w:rsidRDefault="00047185" w:rsidP="009507EC">
      <w:pPr>
        <w:spacing w:line="360" w:lineRule="auto"/>
        <w:ind w:firstLine="709"/>
        <w:jc w:val="both"/>
        <w:rPr>
          <w:sz w:val="24"/>
          <w:szCs w:val="24"/>
        </w:rPr>
      </w:pPr>
      <w:r>
        <w:rPr>
          <w:sz w:val="24"/>
          <w:szCs w:val="24"/>
        </w:rPr>
        <w:t xml:space="preserve">Tomando como base as quatro principais fontes da ROT da União, </w:t>
      </w:r>
      <w:r w:rsidR="00687E7B" w:rsidRPr="00687E7B">
        <w:rPr>
          <w:sz w:val="24"/>
          <w:szCs w:val="24"/>
        </w:rPr>
        <w:t xml:space="preserve">conforme demonstrado no Gráfico 2, </w:t>
      </w:r>
      <w:r>
        <w:rPr>
          <w:sz w:val="24"/>
          <w:szCs w:val="24"/>
        </w:rPr>
        <w:t>a</w:t>
      </w:r>
      <w:r w:rsidRPr="00687E7B">
        <w:rPr>
          <w:sz w:val="24"/>
          <w:szCs w:val="24"/>
        </w:rPr>
        <w:t xml:space="preserve"> receita de transferências correntes</w:t>
      </w:r>
      <w:r>
        <w:rPr>
          <w:sz w:val="24"/>
          <w:szCs w:val="24"/>
        </w:rPr>
        <w:t>, a menos expressiva,</w:t>
      </w:r>
      <w:r w:rsidRPr="00687E7B">
        <w:rPr>
          <w:sz w:val="24"/>
          <w:szCs w:val="24"/>
        </w:rPr>
        <w:t xml:space="preserve"> passou de R$259 milhões em 2023, para R$363 milhões</w:t>
      </w:r>
      <w:r w:rsidR="009507EC">
        <w:rPr>
          <w:sz w:val="24"/>
          <w:szCs w:val="24"/>
        </w:rPr>
        <w:t xml:space="preserve"> </w:t>
      </w:r>
      <w:r w:rsidRPr="00687E7B">
        <w:rPr>
          <w:sz w:val="24"/>
          <w:szCs w:val="24"/>
        </w:rPr>
        <w:t xml:space="preserve">em 2024, um aumento de </w:t>
      </w:r>
      <w:r w:rsidRPr="00687E7B">
        <w:rPr>
          <w:sz w:val="24"/>
          <w:szCs w:val="24"/>
        </w:rPr>
        <w:t xml:space="preserve">40,13%. </w:t>
      </w:r>
    </w:p>
    <w:p w14:paraId="178E0AFB" w14:textId="7BB1CF53" w:rsidR="00047185" w:rsidRDefault="009507EC" w:rsidP="000A3879">
      <w:pPr>
        <w:spacing w:line="360" w:lineRule="auto"/>
        <w:ind w:firstLine="720"/>
        <w:jc w:val="both"/>
        <w:rPr>
          <w:sz w:val="24"/>
          <w:szCs w:val="24"/>
        </w:rPr>
      </w:pPr>
      <w:r>
        <w:rPr>
          <w:sz w:val="24"/>
          <w:szCs w:val="24"/>
        </w:rPr>
        <w:t>A</w:t>
      </w:r>
      <w:r w:rsidR="00047185" w:rsidRPr="00687E7B">
        <w:rPr>
          <w:sz w:val="24"/>
          <w:szCs w:val="24"/>
        </w:rPr>
        <w:t xml:space="preserve"> receita de operações de crédito subiu de R$</w:t>
      </w:r>
      <w:r w:rsidR="00047185">
        <w:rPr>
          <w:sz w:val="24"/>
          <w:szCs w:val="24"/>
        </w:rPr>
        <w:t xml:space="preserve"> </w:t>
      </w:r>
      <w:r w:rsidR="00047185" w:rsidRPr="00687E7B">
        <w:rPr>
          <w:sz w:val="24"/>
          <w:szCs w:val="24"/>
        </w:rPr>
        <w:t>402 bilhões para R$</w:t>
      </w:r>
      <w:r w:rsidR="00047185">
        <w:rPr>
          <w:sz w:val="24"/>
          <w:szCs w:val="24"/>
        </w:rPr>
        <w:t xml:space="preserve"> </w:t>
      </w:r>
      <w:r w:rsidR="00047185" w:rsidRPr="00687E7B">
        <w:rPr>
          <w:sz w:val="24"/>
          <w:szCs w:val="24"/>
        </w:rPr>
        <w:t>528 bilhões, registrando um aumento expressivo de 31,44%.</w:t>
      </w:r>
      <w:r w:rsidR="000A3879">
        <w:rPr>
          <w:sz w:val="24"/>
          <w:szCs w:val="24"/>
        </w:rPr>
        <w:t xml:space="preserve"> </w:t>
      </w:r>
      <w:r w:rsidR="00687E7B" w:rsidRPr="00687E7B">
        <w:rPr>
          <w:sz w:val="24"/>
          <w:szCs w:val="24"/>
        </w:rPr>
        <w:t>A receita tributária</w:t>
      </w:r>
      <w:r w:rsidR="00047185">
        <w:rPr>
          <w:sz w:val="24"/>
          <w:szCs w:val="24"/>
        </w:rPr>
        <w:t xml:space="preserve">, segunda fonte </w:t>
      </w:r>
      <w:r w:rsidR="000A72CB">
        <w:rPr>
          <w:sz w:val="24"/>
          <w:szCs w:val="24"/>
        </w:rPr>
        <w:t xml:space="preserve">em </w:t>
      </w:r>
      <w:r w:rsidR="000A72CB">
        <w:rPr>
          <w:sz w:val="24"/>
          <w:szCs w:val="24"/>
        </w:rPr>
        <w:lastRenderedPageBreak/>
        <w:t xml:space="preserve">importância da </w:t>
      </w:r>
      <w:r>
        <w:rPr>
          <w:sz w:val="24"/>
          <w:szCs w:val="24"/>
        </w:rPr>
        <w:t xml:space="preserve">ROT, </w:t>
      </w:r>
      <w:r w:rsidRPr="00687E7B">
        <w:rPr>
          <w:sz w:val="24"/>
          <w:szCs w:val="24"/>
        </w:rPr>
        <w:t>passou</w:t>
      </w:r>
      <w:r w:rsidR="00687E7B" w:rsidRPr="00687E7B">
        <w:rPr>
          <w:sz w:val="24"/>
          <w:szCs w:val="24"/>
        </w:rPr>
        <w:t xml:space="preserve"> de R$</w:t>
      </w:r>
      <w:r w:rsidR="00687E7B">
        <w:rPr>
          <w:sz w:val="24"/>
          <w:szCs w:val="24"/>
        </w:rPr>
        <w:t xml:space="preserve"> </w:t>
      </w:r>
      <w:r w:rsidR="00687E7B" w:rsidRPr="00687E7B">
        <w:rPr>
          <w:sz w:val="24"/>
          <w:szCs w:val="24"/>
        </w:rPr>
        <w:t>948 bilhões para R$</w:t>
      </w:r>
      <w:r w:rsidR="00687E7B">
        <w:rPr>
          <w:sz w:val="24"/>
          <w:szCs w:val="24"/>
        </w:rPr>
        <w:t xml:space="preserve"> </w:t>
      </w:r>
      <w:r w:rsidR="00687E7B" w:rsidRPr="00687E7B">
        <w:rPr>
          <w:sz w:val="24"/>
          <w:szCs w:val="24"/>
        </w:rPr>
        <w:t>1,02</w:t>
      </w:r>
      <w:r w:rsidR="00687E7B">
        <w:rPr>
          <w:sz w:val="24"/>
          <w:szCs w:val="24"/>
        </w:rPr>
        <w:t xml:space="preserve"> </w:t>
      </w:r>
      <w:r w:rsidR="00687E7B" w:rsidRPr="00687E7B">
        <w:rPr>
          <w:sz w:val="24"/>
          <w:szCs w:val="24"/>
        </w:rPr>
        <w:t>trilhão, com 8,34% de crescimento</w:t>
      </w:r>
      <w:r w:rsidR="000A3879">
        <w:rPr>
          <w:sz w:val="24"/>
          <w:szCs w:val="24"/>
        </w:rPr>
        <w:t>.</w:t>
      </w:r>
      <w:r w:rsidR="000A3879" w:rsidRPr="000A3879">
        <w:rPr>
          <w:sz w:val="24"/>
          <w:szCs w:val="24"/>
        </w:rPr>
        <w:t xml:space="preserve"> </w:t>
      </w:r>
      <w:r w:rsidR="000A3879">
        <w:rPr>
          <w:sz w:val="24"/>
          <w:szCs w:val="24"/>
        </w:rPr>
        <w:t xml:space="preserve">E, por último a receita de </w:t>
      </w:r>
      <w:r w:rsidR="000A3879" w:rsidRPr="00687E7B">
        <w:rPr>
          <w:sz w:val="24"/>
          <w:szCs w:val="24"/>
        </w:rPr>
        <w:t>contribuições</w:t>
      </w:r>
      <w:r w:rsidR="000A3879">
        <w:rPr>
          <w:sz w:val="24"/>
          <w:szCs w:val="24"/>
        </w:rPr>
        <w:t xml:space="preserve">, principal financiadora das políticas sociais do governo federal, arrecadou o montante </w:t>
      </w:r>
      <w:r w:rsidR="000A3879" w:rsidRPr="00687E7B">
        <w:rPr>
          <w:sz w:val="24"/>
          <w:szCs w:val="24"/>
        </w:rPr>
        <w:t>de R$ 1,27 trilh</w:t>
      </w:r>
      <w:r w:rsidR="000A3879">
        <w:rPr>
          <w:sz w:val="24"/>
          <w:szCs w:val="24"/>
        </w:rPr>
        <w:t xml:space="preserve">ão em 2023 e </w:t>
      </w:r>
      <w:r w:rsidR="000A3879" w:rsidRPr="00687E7B">
        <w:rPr>
          <w:sz w:val="24"/>
          <w:szCs w:val="24"/>
        </w:rPr>
        <w:t>R$ 1,37 trilh</w:t>
      </w:r>
      <w:r w:rsidR="000A3879">
        <w:rPr>
          <w:sz w:val="24"/>
          <w:szCs w:val="24"/>
        </w:rPr>
        <w:t>ão</w:t>
      </w:r>
      <w:r w:rsidR="000A3879" w:rsidRPr="00687E7B">
        <w:rPr>
          <w:sz w:val="24"/>
          <w:szCs w:val="24"/>
        </w:rPr>
        <w:t xml:space="preserve"> em 2024, </w:t>
      </w:r>
      <w:r w:rsidR="000A3879">
        <w:rPr>
          <w:sz w:val="24"/>
          <w:szCs w:val="24"/>
        </w:rPr>
        <w:t>um</w:t>
      </w:r>
      <w:r w:rsidR="000A3879" w:rsidRPr="00687E7B">
        <w:rPr>
          <w:sz w:val="24"/>
          <w:szCs w:val="24"/>
        </w:rPr>
        <w:t xml:space="preserve"> crescimento real de 7,69% no período.</w:t>
      </w:r>
    </w:p>
    <w:p w14:paraId="461659FC" w14:textId="50DDA73A" w:rsidR="00DE42DC" w:rsidRPr="00E67687" w:rsidRDefault="00D630DC" w:rsidP="00C421F6">
      <w:pPr>
        <w:spacing w:line="360" w:lineRule="auto"/>
        <w:jc w:val="center"/>
        <w:rPr>
          <w:noProof/>
        </w:rPr>
      </w:pPr>
      <w:r>
        <w:rPr>
          <w:noProof/>
        </w:rPr>
        <w:drawing>
          <wp:anchor distT="0" distB="0" distL="114300" distR="114300" simplePos="0" relativeHeight="251657728" behindDoc="0" locked="0" layoutInCell="1" allowOverlap="1" wp14:anchorId="1F799F3D" wp14:editId="462B9CCF">
            <wp:simplePos x="0" y="0"/>
            <wp:positionH relativeFrom="margin">
              <wp:posOffset>-6985</wp:posOffset>
            </wp:positionH>
            <wp:positionV relativeFrom="paragraph">
              <wp:posOffset>387985</wp:posOffset>
            </wp:positionV>
            <wp:extent cx="6057900" cy="2245360"/>
            <wp:effectExtent l="0" t="0" r="0" b="2540"/>
            <wp:wrapSquare wrapText="bothSides"/>
            <wp:docPr id="10" name="Gráfico 10">
              <a:extLst xmlns:a="http://schemas.openxmlformats.org/drawingml/2006/main">
                <a:ext uri="{FF2B5EF4-FFF2-40B4-BE49-F238E27FC236}">
                  <a16:creationId xmlns:a16="http://schemas.microsoft.com/office/drawing/2014/main" id="{7937F2E6-E5BE-18B6-F0E0-2A4F93ED9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7A4918" w:rsidRPr="00D57E15">
        <w:rPr>
          <w:b/>
          <w:bCs/>
          <w:sz w:val="24"/>
          <w:szCs w:val="24"/>
        </w:rPr>
        <w:t>Gráfico 2</w:t>
      </w:r>
      <w:r w:rsidR="007A4918">
        <w:rPr>
          <w:sz w:val="24"/>
          <w:szCs w:val="24"/>
        </w:rPr>
        <w:t xml:space="preserve"> </w:t>
      </w:r>
      <w:r w:rsidR="007A4918" w:rsidRPr="00F915E7">
        <w:t xml:space="preserve">— </w:t>
      </w:r>
      <w:r w:rsidR="007A4918">
        <w:rPr>
          <w:sz w:val="24"/>
          <w:szCs w:val="24"/>
        </w:rPr>
        <w:t>Evolução das principais receitas da ROT</w:t>
      </w:r>
    </w:p>
    <w:p w14:paraId="5E604D2C" w14:textId="700D7F68" w:rsidR="00697085" w:rsidRPr="00D630DC" w:rsidRDefault="007A4918" w:rsidP="00D630DC">
      <w:pPr>
        <w:spacing w:line="360" w:lineRule="auto"/>
        <w:jc w:val="center"/>
        <w:rPr>
          <w:sz w:val="20"/>
          <w:szCs w:val="20"/>
        </w:rPr>
      </w:pPr>
      <w:r w:rsidRPr="00D57E15">
        <w:rPr>
          <w:sz w:val="20"/>
          <w:szCs w:val="20"/>
        </w:rPr>
        <w:t>Fonte: Elaboração própria (SIGA, 2025)</w:t>
      </w:r>
    </w:p>
    <w:p w14:paraId="79D3F1CC" w14:textId="65160E6F" w:rsidR="003A2363" w:rsidRDefault="00687E7B" w:rsidP="000A3879">
      <w:pPr>
        <w:spacing w:line="360" w:lineRule="auto"/>
        <w:ind w:firstLine="709"/>
        <w:jc w:val="both"/>
        <w:rPr>
          <w:sz w:val="24"/>
          <w:szCs w:val="24"/>
        </w:rPr>
      </w:pPr>
      <w:r w:rsidRPr="00687E7B">
        <w:rPr>
          <w:sz w:val="24"/>
          <w:szCs w:val="24"/>
        </w:rPr>
        <w:t xml:space="preserve">Ao detalhar-se as receitas de contribuições federais, em termos reais, a receita do RGPS, principal fonte entre as contribuições, passou de R$ 625 bilhões em 2023 para R$ 637 bilhões em 2024, tendo um aumento de 1,87%. </w:t>
      </w:r>
      <w:r w:rsidR="00697085">
        <w:rPr>
          <w:sz w:val="24"/>
          <w:szCs w:val="24"/>
        </w:rPr>
        <w:t xml:space="preserve">Desse total arrecadado pelo </w:t>
      </w:r>
      <w:r w:rsidRPr="00687E7B">
        <w:rPr>
          <w:sz w:val="24"/>
          <w:szCs w:val="24"/>
        </w:rPr>
        <w:t>RGPS</w:t>
      </w:r>
      <w:r w:rsidR="00697085">
        <w:rPr>
          <w:sz w:val="24"/>
          <w:szCs w:val="24"/>
        </w:rPr>
        <w:t xml:space="preserve"> no biênio 2023-2024, </w:t>
      </w:r>
      <w:r w:rsidRPr="00687E7B">
        <w:rPr>
          <w:sz w:val="24"/>
          <w:szCs w:val="24"/>
        </w:rPr>
        <w:t>R$ 443 bilhões</w:t>
      </w:r>
      <w:r w:rsidR="00697085">
        <w:rPr>
          <w:sz w:val="24"/>
          <w:szCs w:val="24"/>
        </w:rPr>
        <w:t xml:space="preserve"> em 2023 e R$ 450 bilhões em 2024</w:t>
      </w:r>
      <w:r w:rsidRPr="00687E7B">
        <w:rPr>
          <w:sz w:val="24"/>
          <w:szCs w:val="24"/>
        </w:rPr>
        <w:t xml:space="preserve"> </w:t>
      </w:r>
      <w:r w:rsidR="00697085">
        <w:rPr>
          <w:sz w:val="24"/>
          <w:szCs w:val="24"/>
        </w:rPr>
        <w:t xml:space="preserve">foram oriundas da </w:t>
      </w:r>
      <w:r w:rsidRPr="00687E7B">
        <w:rPr>
          <w:sz w:val="24"/>
          <w:szCs w:val="24"/>
        </w:rPr>
        <w:t>contribuição previdenciária patronal</w:t>
      </w:r>
      <w:r w:rsidR="00C421F6">
        <w:rPr>
          <w:sz w:val="24"/>
          <w:szCs w:val="24"/>
        </w:rPr>
        <w:t xml:space="preserve"> </w:t>
      </w:r>
      <w:r w:rsidRPr="00687E7B">
        <w:rPr>
          <w:sz w:val="24"/>
          <w:szCs w:val="24"/>
        </w:rPr>
        <w:t>R$</w:t>
      </w:r>
      <w:r>
        <w:rPr>
          <w:sz w:val="24"/>
          <w:szCs w:val="24"/>
        </w:rPr>
        <w:t xml:space="preserve"> </w:t>
      </w:r>
      <w:r w:rsidRPr="00687E7B">
        <w:rPr>
          <w:sz w:val="24"/>
          <w:szCs w:val="24"/>
        </w:rPr>
        <w:t>177 bilhões</w:t>
      </w:r>
      <w:r w:rsidR="00697085">
        <w:rPr>
          <w:sz w:val="24"/>
          <w:szCs w:val="24"/>
        </w:rPr>
        <w:t xml:space="preserve"> em 2023 e R$ 181 bilhões em 2024 foram</w:t>
      </w:r>
      <w:r w:rsidRPr="00687E7B">
        <w:rPr>
          <w:sz w:val="24"/>
          <w:szCs w:val="24"/>
        </w:rPr>
        <w:t xml:space="preserve"> a Contribuição previdenciária do segurado</w:t>
      </w:r>
      <w:r w:rsidR="00BD7D74">
        <w:rPr>
          <w:sz w:val="24"/>
          <w:szCs w:val="24"/>
        </w:rPr>
        <w:t>, conforme gráfico 3</w:t>
      </w:r>
      <w:r w:rsidR="00C421F6">
        <w:rPr>
          <w:sz w:val="24"/>
          <w:szCs w:val="24"/>
        </w:rPr>
        <w:t>.</w:t>
      </w:r>
    </w:p>
    <w:p w14:paraId="5007B891" w14:textId="77777777" w:rsidR="003A2363" w:rsidRDefault="003A2363" w:rsidP="003A2363">
      <w:pPr>
        <w:spacing w:line="360" w:lineRule="auto"/>
        <w:ind w:firstLine="709"/>
        <w:jc w:val="both"/>
        <w:rPr>
          <w:sz w:val="24"/>
          <w:szCs w:val="24"/>
        </w:rPr>
      </w:pPr>
      <w:r w:rsidRPr="003A2363">
        <w:rPr>
          <w:sz w:val="24"/>
          <w:szCs w:val="24"/>
        </w:rPr>
        <w:t xml:space="preserve"> </w:t>
      </w:r>
      <w:r w:rsidRPr="00687E7B">
        <w:rPr>
          <w:sz w:val="24"/>
          <w:szCs w:val="24"/>
        </w:rPr>
        <w:t>A receita d</w:t>
      </w:r>
      <w:r>
        <w:rPr>
          <w:sz w:val="24"/>
          <w:szCs w:val="24"/>
        </w:rPr>
        <w:t>a</w:t>
      </w:r>
      <w:r w:rsidRPr="00687E7B">
        <w:rPr>
          <w:sz w:val="24"/>
          <w:szCs w:val="24"/>
        </w:rPr>
        <w:t xml:space="preserve"> COFINS foi de R$</w:t>
      </w:r>
      <w:r>
        <w:rPr>
          <w:sz w:val="24"/>
          <w:szCs w:val="24"/>
        </w:rPr>
        <w:t xml:space="preserve"> </w:t>
      </w:r>
      <w:r w:rsidRPr="00687E7B">
        <w:rPr>
          <w:sz w:val="24"/>
          <w:szCs w:val="24"/>
        </w:rPr>
        <w:t>313 bilhões em 2023</w:t>
      </w:r>
      <w:r>
        <w:rPr>
          <w:sz w:val="24"/>
          <w:szCs w:val="24"/>
        </w:rPr>
        <w:t xml:space="preserve"> e</w:t>
      </w:r>
      <w:r w:rsidRPr="00687E7B">
        <w:rPr>
          <w:sz w:val="24"/>
          <w:szCs w:val="24"/>
        </w:rPr>
        <w:t xml:space="preserve"> de R$</w:t>
      </w:r>
      <w:r>
        <w:rPr>
          <w:sz w:val="24"/>
          <w:szCs w:val="24"/>
        </w:rPr>
        <w:t xml:space="preserve"> </w:t>
      </w:r>
      <w:r w:rsidRPr="00687E7B">
        <w:rPr>
          <w:sz w:val="24"/>
          <w:szCs w:val="24"/>
        </w:rPr>
        <w:t>367 bilhões</w:t>
      </w:r>
      <w:r>
        <w:rPr>
          <w:sz w:val="24"/>
          <w:szCs w:val="24"/>
        </w:rPr>
        <w:t xml:space="preserve"> em 2024; </w:t>
      </w:r>
      <w:r w:rsidRPr="00687E7B">
        <w:rPr>
          <w:sz w:val="24"/>
          <w:szCs w:val="24"/>
        </w:rPr>
        <w:t xml:space="preserve">a </w:t>
      </w:r>
      <w:r>
        <w:rPr>
          <w:sz w:val="24"/>
          <w:szCs w:val="24"/>
        </w:rPr>
        <w:t xml:space="preserve">da </w:t>
      </w:r>
      <w:r w:rsidRPr="00687E7B">
        <w:rPr>
          <w:sz w:val="24"/>
          <w:szCs w:val="24"/>
        </w:rPr>
        <w:t xml:space="preserve">CSLL </w:t>
      </w:r>
      <w:r>
        <w:rPr>
          <w:sz w:val="24"/>
          <w:szCs w:val="24"/>
        </w:rPr>
        <w:t>passou</w:t>
      </w:r>
      <w:r w:rsidRPr="00687E7B">
        <w:rPr>
          <w:sz w:val="24"/>
          <w:szCs w:val="24"/>
        </w:rPr>
        <w:t xml:space="preserve"> de R$</w:t>
      </w:r>
      <w:r>
        <w:rPr>
          <w:sz w:val="24"/>
          <w:szCs w:val="24"/>
        </w:rPr>
        <w:t xml:space="preserve"> </w:t>
      </w:r>
      <w:r w:rsidRPr="00687E7B">
        <w:rPr>
          <w:sz w:val="24"/>
          <w:szCs w:val="24"/>
        </w:rPr>
        <w:t>159 bilhões para R$</w:t>
      </w:r>
      <w:r>
        <w:rPr>
          <w:sz w:val="24"/>
          <w:szCs w:val="24"/>
        </w:rPr>
        <w:t xml:space="preserve"> </w:t>
      </w:r>
      <w:r w:rsidRPr="00687E7B">
        <w:rPr>
          <w:sz w:val="24"/>
          <w:szCs w:val="24"/>
        </w:rPr>
        <w:t>167 bilhões</w:t>
      </w:r>
      <w:r>
        <w:rPr>
          <w:sz w:val="24"/>
          <w:szCs w:val="24"/>
        </w:rPr>
        <w:t xml:space="preserve">; e a do </w:t>
      </w:r>
      <w:r w:rsidRPr="00687E7B">
        <w:rPr>
          <w:sz w:val="24"/>
          <w:szCs w:val="24"/>
        </w:rPr>
        <w:t>PIS/PASEP elevou-se de R$</w:t>
      </w:r>
      <w:r>
        <w:rPr>
          <w:sz w:val="24"/>
          <w:szCs w:val="24"/>
        </w:rPr>
        <w:t xml:space="preserve"> </w:t>
      </w:r>
      <w:r w:rsidRPr="00687E7B">
        <w:rPr>
          <w:sz w:val="24"/>
          <w:szCs w:val="24"/>
        </w:rPr>
        <w:t>90 bilhões para R$</w:t>
      </w:r>
      <w:r>
        <w:rPr>
          <w:sz w:val="24"/>
          <w:szCs w:val="24"/>
        </w:rPr>
        <w:t xml:space="preserve"> </w:t>
      </w:r>
      <w:r w:rsidRPr="00687E7B">
        <w:rPr>
          <w:sz w:val="24"/>
          <w:szCs w:val="24"/>
        </w:rPr>
        <w:t>104 bilhões no mesmo período.</w:t>
      </w:r>
    </w:p>
    <w:p w14:paraId="693C8B6C" w14:textId="5E1112B6" w:rsidR="00412596" w:rsidRDefault="00412596" w:rsidP="003A2363">
      <w:pPr>
        <w:spacing w:line="360" w:lineRule="auto"/>
        <w:jc w:val="center"/>
        <w:rPr>
          <w:sz w:val="24"/>
          <w:szCs w:val="24"/>
        </w:rPr>
      </w:pPr>
      <w:r w:rsidRPr="00D57E15">
        <w:rPr>
          <w:b/>
          <w:bCs/>
          <w:sz w:val="24"/>
          <w:szCs w:val="24"/>
        </w:rPr>
        <w:lastRenderedPageBreak/>
        <w:t>Gráfico 3</w:t>
      </w:r>
      <w:r>
        <w:rPr>
          <w:sz w:val="24"/>
          <w:szCs w:val="24"/>
        </w:rPr>
        <w:t xml:space="preserve"> </w:t>
      </w:r>
      <w:r w:rsidRPr="00F915E7">
        <w:t>—</w:t>
      </w:r>
      <w:r w:rsidRPr="00F37024">
        <w:rPr>
          <w:sz w:val="24"/>
          <w:szCs w:val="24"/>
        </w:rPr>
        <w:t xml:space="preserve"> E</w:t>
      </w:r>
      <w:r>
        <w:rPr>
          <w:sz w:val="24"/>
          <w:szCs w:val="24"/>
        </w:rPr>
        <w:t>volução das Receitas de Contribuições</w:t>
      </w:r>
      <w:r w:rsidR="00BD7D74">
        <w:rPr>
          <w:sz w:val="24"/>
          <w:szCs w:val="24"/>
        </w:rPr>
        <w:t xml:space="preserve"> da União no biênio 2023-2024</w:t>
      </w:r>
      <w:r w:rsidR="00C82822">
        <w:rPr>
          <w:noProof/>
        </w:rPr>
        <w:drawing>
          <wp:inline distT="0" distB="0" distL="0" distR="0" wp14:anchorId="77705156" wp14:editId="0F4B603A">
            <wp:extent cx="5652135" cy="2197100"/>
            <wp:effectExtent l="0" t="0" r="5715" b="12700"/>
            <wp:docPr id="9" name="Gráfico 9">
              <a:extLst xmlns:a="http://schemas.openxmlformats.org/drawingml/2006/main">
                <a:ext uri="{FF2B5EF4-FFF2-40B4-BE49-F238E27FC236}">
                  <a16:creationId xmlns:a16="http://schemas.microsoft.com/office/drawing/2014/main" id="{88D74863-0821-02FE-B46C-242A8F0B9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7FB139" w14:textId="5531C079" w:rsidR="00897787" w:rsidRPr="00D630DC" w:rsidRDefault="00412596" w:rsidP="00D630DC">
      <w:pPr>
        <w:spacing w:line="360" w:lineRule="auto"/>
        <w:jc w:val="center"/>
        <w:rPr>
          <w:sz w:val="20"/>
          <w:szCs w:val="20"/>
        </w:rPr>
      </w:pPr>
      <w:r w:rsidRPr="00D57E15">
        <w:rPr>
          <w:sz w:val="20"/>
          <w:szCs w:val="20"/>
        </w:rPr>
        <w:t>Fonte: Elaboração própria (SIGA, 2025)</w:t>
      </w:r>
    </w:p>
    <w:p w14:paraId="2FDFFC22" w14:textId="5091050B" w:rsidR="009424A6" w:rsidRDefault="00BD7D74" w:rsidP="00D630DC">
      <w:pPr>
        <w:spacing w:line="360" w:lineRule="auto"/>
        <w:ind w:firstLine="709"/>
        <w:jc w:val="both"/>
        <w:rPr>
          <w:sz w:val="24"/>
          <w:szCs w:val="24"/>
        </w:rPr>
      </w:pPr>
      <w:r>
        <w:rPr>
          <w:sz w:val="24"/>
          <w:szCs w:val="24"/>
        </w:rPr>
        <w:t xml:space="preserve">Portanto, todas as fontes de receitas de contribuições </w:t>
      </w:r>
      <w:r w:rsidR="005E588F">
        <w:rPr>
          <w:sz w:val="24"/>
          <w:szCs w:val="24"/>
        </w:rPr>
        <w:t xml:space="preserve">sociais </w:t>
      </w:r>
      <w:r>
        <w:rPr>
          <w:sz w:val="24"/>
          <w:szCs w:val="24"/>
        </w:rPr>
        <w:t>obtiveram crescimento real nas suas arrecadações.</w:t>
      </w:r>
      <w:r w:rsidR="00D630DC">
        <w:rPr>
          <w:sz w:val="24"/>
          <w:szCs w:val="24"/>
        </w:rPr>
        <w:t xml:space="preserve"> </w:t>
      </w:r>
      <w:r w:rsidR="005E588F">
        <w:rPr>
          <w:sz w:val="24"/>
          <w:szCs w:val="24"/>
        </w:rPr>
        <w:t>Ora, como já descrito anteriormente, a receita tributária obteve um acr</w:t>
      </w:r>
      <w:r w:rsidR="00C421F6">
        <w:rPr>
          <w:sz w:val="24"/>
          <w:szCs w:val="24"/>
        </w:rPr>
        <w:t>é</w:t>
      </w:r>
      <w:r w:rsidR="005E588F">
        <w:rPr>
          <w:sz w:val="24"/>
          <w:szCs w:val="24"/>
        </w:rPr>
        <w:t xml:space="preserve">scimo superior ao da receita de contribuições. Dessa forma, como esse crescimento afetou </w:t>
      </w:r>
      <w:r w:rsidR="009424A6">
        <w:rPr>
          <w:sz w:val="24"/>
          <w:szCs w:val="24"/>
        </w:rPr>
        <w:t>a arrecadação da receita de impostos diretos e indiretos?</w:t>
      </w:r>
    </w:p>
    <w:p w14:paraId="65D12517" w14:textId="3A5B6DF0" w:rsidR="003A2363" w:rsidRDefault="00294414" w:rsidP="00E13C5C">
      <w:pPr>
        <w:spacing w:line="360" w:lineRule="auto"/>
        <w:ind w:firstLine="720"/>
        <w:jc w:val="both"/>
        <w:rPr>
          <w:sz w:val="24"/>
          <w:szCs w:val="24"/>
        </w:rPr>
      </w:pPr>
      <w:r w:rsidRPr="00294414">
        <w:rPr>
          <w:sz w:val="24"/>
          <w:szCs w:val="24"/>
        </w:rPr>
        <w:t>Ao se analisar a receita de impostos constatamos que os impostos diretos passaram de R$</w:t>
      </w:r>
      <w:r w:rsidR="009424A6">
        <w:rPr>
          <w:sz w:val="24"/>
          <w:szCs w:val="24"/>
        </w:rPr>
        <w:t xml:space="preserve"> </w:t>
      </w:r>
      <w:r w:rsidRPr="00294414">
        <w:rPr>
          <w:sz w:val="24"/>
          <w:szCs w:val="24"/>
        </w:rPr>
        <w:t>747 bilhões em 2023 para R$</w:t>
      </w:r>
      <w:r w:rsidR="009424A6">
        <w:rPr>
          <w:sz w:val="24"/>
          <w:szCs w:val="24"/>
        </w:rPr>
        <w:t xml:space="preserve"> </w:t>
      </w:r>
      <w:r w:rsidRPr="00294414">
        <w:rPr>
          <w:sz w:val="24"/>
          <w:szCs w:val="24"/>
        </w:rPr>
        <w:t xml:space="preserve">788 bilhões em 2024, apresentando uma alta real de 5,5%. </w:t>
      </w:r>
      <w:r w:rsidR="003A2363" w:rsidRPr="00294414">
        <w:rPr>
          <w:sz w:val="24"/>
          <w:szCs w:val="24"/>
        </w:rPr>
        <w:t>A receita do IRRF apresentou elevação de R$</w:t>
      </w:r>
      <w:r w:rsidR="003A2363">
        <w:rPr>
          <w:sz w:val="24"/>
          <w:szCs w:val="24"/>
        </w:rPr>
        <w:t xml:space="preserve"> </w:t>
      </w:r>
      <w:r w:rsidR="003A2363" w:rsidRPr="00294414">
        <w:rPr>
          <w:sz w:val="24"/>
          <w:szCs w:val="24"/>
        </w:rPr>
        <w:t>408 bilhões em 2023 para R$</w:t>
      </w:r>
      <w:r w:rsidR="003A2363">
        <w:rPr>
          <w:sz w:val="24"/>
          <w:szCs w:val="24"/>
        </w:rPr>
        <w:t xml:space="preserve"> </w:t>
      </w:r>
      <w:r w:rsidR="003A2363" w:rsidRPr="00294414">
        <w:rPr>
          <w:sz w:val="24"/>
          <w:szCs w:val="24"/>
        </w:rPr>
        <w:t>433 bilhões em 2024</w:t>
      </w:r>
      <w:r w:rsidR="003A2363">
        <w:rPr>
          <w:sz w:val="24"/>
          <w:szCs w:val="24"/>
        </w:rPr>
        <w:t>, conforme gráfico 4</w:t>
      </w:r>
      <w:r w:rsidR="003A2363" w:rsidRPr="00294414">
        <w:rPr>
          <w:sz w:val="24"/>
          <w:szCs w:val="24"/>
        </w:rPr>
        <w:t>. Em contrapartida, a arrecadação do IRPJ registrou em 2023 o montante de R$</w:t>
      </w:r>
      <w:r w:rsidR="003A2363">
        <w:rPr>
          <w:sz w:val="24"/>
          <w:szCs w:val="24"/>
        </w:rPr>
        <w:t xml:space="preserve"> </w:t>
      </w:r>
      <w:r w:rsidR="003A2363" w:rsidRPr="00294414">
        <w:rPr>
          <w:sz w:val="24"/>
          <w:szCs w:val="24"/>
        </w:rPr>
        <w:t>279 bilhões e em 2024 R$</w:t>
      </w:r>
      <w:r w:rsidR="003A2363">
        <w:rPr>
          <w:sz w:val="24"/>
          <w:szCs w:val="24"/>
        </w:rPr>
        <w:t xml:space="preserve"> </w:t>
      </w:r>
      <w:r w:rsidR="003A2363" w:rsidRPr="00294414">
        <w:rPr>
          <w:sz w:val="24"/>
          <w:szCs w:val="24"/>
        </w:rPr>
        <w:t>280 bilhões, apresentando uma queda real. O IRPF passou de R$</w:t>
      </w:r>
      <w:r w:rsidR="003A2363">
        <w:rPr>
          <w:sz w:val="24"/>
          <w:szCs w:val="24"/>
        </w:rPr>
        <w:t xml:space="preserve"> </w:t>
      </w:r>
      <w:r w:rsidR="003A2363" w:rsidRPr="00294414">
        <w:rPr>
          <w:sz w:val="24"/>
          <w:szCs w:val="24"/>
        </w:rPr>
        <w:t>63 bilhões para R$</w:t>
      </w:r>
      <w:r w:rsidR="003A2363">
        <w:rPr>
          <w:sz w:val="24"/>
          <w:szCs w:val="24"/>
        </w:rPr>
        <w:t xml:space="preserve"> </w:t>
      </w:r>
      <w:r w:rsidR="003A2363" w:rsidRPr="00294414">
        <w:rPr>
          <w:sz w:val="24"/>
          <w:szCs w:val="24"/>
        </w:rPr>
        <w:t>71 bilhões, tendo um crescimento mais discreto</w:t>
      </w:r>
      <w:r w:rsidR="003A2363">
        <w:rPr>
          <w:sz w:val="24"/>
          <w:szCs w:val="24"/>
        </w:rPr>
        <w:t>. E</w:t>
      </w:r>
      <w:r w:rsidR="003A2363" w:rsidRPr="00294414">
        <w:rPr>
          <w:sz w:val="24"/>
          <w:szCs w:val="24"/>
        </w:rPr>
        <w:t>nquanto o ITR foi de R$</w:t>
      </w:r>
      <w:r w:rsidR="003A2363">
        <w:rPr>
          <w:sz w:val="24"/>
          <w:szCs w:val="24"/>
        </w:rPr>
        <w:t xml:space="preserve"> </w:t>
      </w:r>
      <w:r w:rsidR="003A2363" w:rsidRPr="00294414">
        <w:rPr>
          <w:sz w:val="24"/>
          <w:szCs w:val="24"/>
        </w:rPr>
        <w:t>3,48 bilhões para R$</w:t>
      </w:r>
      <w:r w:rsidR="003A2363">
        <w:rPr>
          <w:sz w:val="24"/>
          <w:szCs w:val="24"/>
        </w:rPr>
        <w:t xml:space="preserve"> </w:t>
      </w:r>
      <w:r w:rsidR="003A2363" w:rsidRPr="00294414">
        <w:rPr>
          <w:sz w:val="24"/>
          <w:szCs w:val="24"/>
        </w:rPr>
        <w:t xml:space="preserve">3,49 bilhões no período, mantendo uma participação pouco expressiva, com leve </w:t>
      </w:r>
      <w:r w:rsidR="003A2363">
        <w:rPr>
          <w:sz w:val="24"/>
          <w:szCs w:val="24"/>
        </w:rPr>
        <w:t>acréscimo</w:t>
      </w:r>
      <w:r w:rsidR="003A2363" w:rsidRPr="00294414">
        <w:rPr>
          <w:sz w:val="24"/>
          <w:szCs w:val="24"/>
        </w:rPr>
        <w:t>.</w:t>
      </w:r>
    </w:p>
    <w:p w14:paraId="7FC6CF07" w14:textId="0EEC2105" w:rsidR="003A2363" w:rsidRDefault="009448E0" w:rsidP="009448E0">
      <w:pPr>
        <w:spacing w:line="360" w:lineRule="auto"/>
        <w:ind w:firstLine="709"/>
        <w:jc w:val="both"/>
        <w:rPr>
          <w:sz w:val="24"/>
          <w:szCs w:val="24"/>
        </w:rPr>
      </w:pPr>
      <w:r>
        <w:rPr>
          <w:sz w:val="24"/>
          <w:szCs w:val="24"/>
        </w:rPr>
        <w:t>Portanto, todas as fontes de impostos diretos cresceram sua arrecadação no biênio 2023-2024.</w:t>
      </w:r>
      <w:r w:rsidRPr="00294414">
        <w:rPr>
          <w:sz w:val="24"/>
          <w:szCs w:val="24"/>
        </w:rPr>
        <w:t xml:space="preserve"> N</w:t>
      </w:r>
      <w:r>
        <w:rPr>
          <w:sz w:val="24"/>
          <w:szCs w:val="24"/>
        </w:rPr>
        <w:t>o mesmo</w:t>
      </w:r>
      <w:r w:rsidRPr="00294414">
        <w:rPr>
          <w:sz w:val="24"/>
          <w:szCs w:val="24"/>
        </w:rPr>
        <w:t xml:space="preserve"> biênio, os impostos indiretos passaram de R$</w:t>
      </w:r>
      <w:r>
        <w:rPr>
          <w:sz w:val="24"/>
          <w:szCs w:val="24"/>
        </w:rPr>
        <w:t xml:space="preserve"> </w:t>
      </w:r>
      <w:r w:rsidRPr="00294414">
        <w:rPr>
          <w:sz w:val="24"/>
          <w:szCs w:val="24"/>
        </w:rPr>
        <w:t>192 bilhões para R$</w:t>
      </w:r>
      <w:r>
        <w:rPr>
          <w:sz w:val="24"/>
          <w:szCs w:val="24"/>
        </w:rPr>
        <w:t xml:space="preserve"> </w:t>
      </w:r>
      <w:r w:rsidRPr="00294414">
        <w:rPr>
          <w:sz w:val="24"/>
          <w:szCs w:val="24"/>
        </w:rPr>
        <w:t>229 bilhões, com variação de 19,6%, desempenho proporcionalmente superior ao dos diretos.</w:t>
      </w:r>
    </w:p>
    <w:p w14:paraId="7140BD38" w14:textId="79810607" w:rsidR="00412596" w:rsidRDefault="003A2363" w:rsidP="003A2363">
      <w:pPr>
        <w:spacing w:line="360" w:lineRule="auto"/>
        <w:ind w:firstLine="709"/>
        <w:jc w:val="both"/>
        <w:rPr>
          <w:sz w:val="24"/>
          <w:szCs w:val="24"/>
        </w:rPr>
      </w:pPr>
      <w:r>
        <w:rPr>
          <w:b/>
          <w:bCs/>
          <w:sz w:val="24"/>
          <w:szCs w:val="24"/>
        </w:rPr>
        <w:lastRenderedPageBreak/>
        <w:t>G</w:t>
      </w:r>
      <w:r w:rsidR="00412596" w:rsidRPr="00C36A00">
        <w:rPr>
          <w:b/>
          <w:bCs/>
          <w:sz w:val="24"/>
          <w:szCs w:val="24"/>
        </w:rPr>
        <w:t xml:space="preserve">ráfico </w:t>
      </w:r>
      <w:r w:rsidR="00412596">
        <w:rPr>
          <w:b/>
          <w:bCs/>
          <w:sz w:val="24"/>
          <w:szCs w:val="24"/>
        </w:rPr>
        <w:t>4</w:t>
      </w:r>
      <w:r w:rsidR="00412596">
        <w:rPr>
          <w:sz w:val="24"/>
          <w:szCs w:val="24"/>
        </w:rPr>
        <w:t xml:space="preserve"> – Evolução dos impostos diretos</w:t>
      </w:r>
      <w:r w:rsidR="009424A6">
        <w:rPr>
          <w:sz w:val="24"/>
          <w:szCs w:val="24"/>
        </w:rPr>
        <w:t xml:space="preserve"> da Uniao no biênio 2023-2024</w:t>
      </w:r>
    </w:p>
    <w:p w14:paraId="15E77158" w14:textId="4FEFF673" w:rsidR="00B03E4E" w:rsidRDefault="00B03E4E" w:rsidP="00B03E4E">
      <w:pPr>
        <w:spacing w:line="360" w:lineRule="auto"/>
        <w:rPr>
          <w:sz w:val="24"/>
          <w:szCs w:val="24"/>
        </w:rPr>
      </w:pPr>
      <w:r>
        <w:rPr>
          <w:noProof/>
        </w:rPr>
        <w:drawing>
          <wp:inline distT="0" distB="0" distL="0" distR="0" wp14:anchorId="04F01ACF" wp14:editId="2C00547E">
            <wp:extent cx="5708015" cy="1771650"/>
            <wp:effectExtent l="0" t="0" r="6985" b="0"/>
            <wp:docPr id="8" name="Gráfico 8">
              <a:extLst xmlns:a="http://schemas.openxmlformats.org/drawingml/2006/main">
                <a:ext uri="{FF2B5EF4-FFF2-40B4-BE49-F238E27FC236}">
                  <a16:creationId xmlns:a16="http://schemas.microsoft.com/office/drawing/2014/main" id="{77DA4E0A-4793-4F8B-336E-3CC99DEF7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D73F4A" w14:textId="0AE38353" w:rsidR="009424A6" w:rsidRDefault="00412596" w:rsidP="00D630DC">
      <w:pPr>
        <w:spacing w:line="360" w:lineRule="auto"/>
        <w:jc w:val="center"/>
        <w:rPr>
          <w:sz w:val="24"/>
          <w:szCs w:val="24"/>
        </w:rPr>
      </w:pPr>
      <w:r w:rsidRPr="00D57E15">
        <w:rPr>
          <w:sz w:val="20"/>
          <w:szCs w:val="20"/>
        </w:rPr>
        <w:t>Fonte: Elaboração própria (SIGA, 2025)</w:t>
      </w:r>
    </w:p>
    <w:p w14:paraId="38BDEC45" w14:textId="6C83F581" w:rsidR="009424A6" w:rsidRDefault="009424A6" w:rsidP="003A2363">
      <w:pPr>
        <w:spacing w:line="360" w:lineRule="auto"/>
        <w:ind w:firstLine="720"/>
        <w:jc w:val="both"/>
        <w:rPr>
          <w:sz w:val="24"/>
          <w:szCs w:val="24"/>
        </w:rPr>
      </w:pPr>
      <w:r>
        <w:rPr>
          <w:sz w:val="24"/>
          <w:szCs w:val="24"/>
        </w:rPr>
        <w:t>Em relação ao detalhamento das fontes</w:t>
      </w:r>
      <w:r w:rsidR="00897787">
        <w:rPr>
          <w:sz w:val="24"/>
          <w:szCs w:val="24"/>
        </w:rPr>
        <w:t xml:space="preserve"> dos</w:t>
      </w:r>
      <w:r>
        <w:rPr>
          <w:sz w:val="24"/>
          <w:szCs w:val="24"/>
        </w:rPr>
        <w:t xml:space="preserve"> </w:t>
      </w:r>
      <w:r w:rsidR="00294414" w:rsidRPr="00294414">
        <w:rPr>
          <w:sz w:val="24"/>
          <w:szCs w:val="24"/>
        </w:rPr>
        <w:t xml:space="preserve">impostos indiretos, </w:t>
      </w:r>
      <w:r>
        <w:rPr>
          <w:sz w:val="24"/>
          <w:szCs w:val="24"/>
        </w:rPr>
        <w:t>a arrecadação obtida pelo</w:t>
      </w:r>
      <w:r w:rsidR="00294414" w:rsidRPr="00294414">
        <w:rPr>
          <w:sz w:val="24"/>
          <w:szCs w:val="24"/>
        </w:rPr>
        <w:t xml:space="preserve"> Imposto sobre Produtos Industrializados (IPI) </w:t>
      </w:r>
      <w:r>
        <w:rPr>
          <w:sz w:val="24"/>
          <w:szCs w:val="24"/>
        </w:rPr>
        <w:t xml:space="preserve">foi </w:t>
      </w:r>
      <w:r w:rsidR="00294414" w:rsidRPr="00294414">
        <w:rPr>
          <w:sz w:val="24"/>
          <w:szCs w:val="24"/>
        </w:rPr>
        <w:t>de R$</w:t>
      </w:r>
      <w:r w:rsidR="00294414">
        <w:rPr>
          <w:sz w:val="24"/>
          <w:szCs w:val="24"/>
        </w:rPr>
        <w:t xml:space="preserve"> </w:t>
      </w:r>
      <w:r w:rsidR="00294414" w:rsidRPr="00294414">
        <w:rPr>
          <w:sz w:val="24"/>
          <w:szCs w:val="24"/>
        </w:rPr>
        <w:t xml:space="preserve">63 bilhões em 2023 </w:t>
      </w:r>
      <w:r>
        <w:rPr>
          <w:sz w:val="24"/>
          <w:szCs w:val="24"/>
        </w:rPr>
        <w:t>e de</w:t>
      </w:r>
      <w:r w:rsidR="00294414" w:rsidRPr="00294414">
        <w:rPr>
          <w:sz w:val="24"/>
          <w:szCs w:val="24"/>
        </w:rPr>
        <w:t xml:space="preserve"> R$</w:t>
      </w:r>
      <w:r w:rsidR="00294414">
        <w:rPr>
          <w:sz w:val="24"/>
          <w:szCs w:val="24"/>
        </w:rPr>
        <w:t xml:space="preserve"> </w:t>
      </w:r>
      <w:r w:rsidR="00294414" w:rsidRPr="00294414">
        <w:rPr>
          <w:sz w:val="24"/>
          <w:szCs w:val="24"/>
        </w:rPr>
        <w:t>84 bilhões em 2024, um aumento real de 33%</w:t>
      </w:r>
      <w:r w:rsidR="00F21076">
        <w:rPr>
          <w:sz w:val="24"/>
          <w:szCs w:val="24"/>
        </w:rPr>
        <w:t>, de acordo com o gráfico 5</w:t>
      </w:r>
      <w:r w:rsidR="00294414" w:rsidRPr="00294414">
        <w:rPr>
          <w:sz w:val="24"/>
          <w:szCs w:val="24"/>
        </w:rPr>
        <w:t xml:space="preserve">. </w:t>
      </w:r>
    </w:p>
    <w:p w14:paraId="6797D132" w14:textId="77777777" w:rsidR="003A2363" w:rsidRDefault="003A2363" w:rsidP="003A2363">
      <w:pPr>
        <w:spacing w:line="360" w:lineRule="auto"/>
        <w:ind w:firstLine="709"/>
        <w:jc w:val="both"/>
        <w:rPr>
          <w:sz w:val="24"/>
          <w:szCs w:val="24"/>
        </w:rPr>
      </w:pPr>
      <w:r w:rsidRPr="00294414">
        <w:rPr>
          <w:sz w:val="24"/>
          <w:szCs w:val="24"/>
        </w:rPr>
        <w:t>O Imposto de Importação (II), por sua vez, partiu de R$</w:t>
      </w:r>
      <w:r>
        <w:rPr>
          <w:sz w:val="24"/>
          <w:szCs w:val="24"/>
        </w:rPr>
        <w:t xml:space="preserve"> </w:t>
      </w:r>
      <w:r w:rsidRPr="00294414">
        <w:rPr>
          <w:sz w:val="24"/>
          <w:szCs w:val="24"/>
        </w:rPr>
        <w:t>57 bilhões para R$</w:t>
      </w:r>
      <w:r>
        <w:rPr>
          <w:sz w:val="24"/>
          <w:szCs w:val="24"/>
        </w:rPr>
        <w:t xml:space="preserve"> </w:t>
      </w:r>
      <w:r w:rsidRPr="00294414">
        <w:rPr>
          <w:sz w:val="24"/>
          <w:szCs w:val="24"/>
        </w:rPr>
        <w:t>77 bilhões, no período</w:t>
      </w:r>
      <w:r>
        <w:rPr>
          <w:sz w:val="24"/>
          <w:szCs w:val="24"/>
        </w:rPr>
        <w:t xml:space="preserve"> 2023-2024; o</w:t>
      </w:r>
      <w:r w:rsidRPr="00294414">
        <w:rPr>
          <w:sz w:val="24"/>
          <w:szCs w:val="24"/>
        </w:rPr>
        <w:t xml:space="preserve"> Imposto sobre Operações Financeiras (IOF) registrou em 2023 R$</w:t>
      </w:r>
      <w:r>
        <w:rPr>
          <w:sz w:val="24"/>
          <w:szCs w:val="24"/>
        </w:rPr>
        <w:t xml:space="preserve"> </w:t>
      </w:r>
      <w:r w:rsidRPr="00294414">
        <w:rPr>
          <w:sz w:val="24"/>
          <w:szCs w:val="24"/>
        </w:rPr>
        <w:t>66 bilhões e em 2024 R$</w:t>
      </w:r>
      <w:r>
        <w:rPr>
          <w:sz w:val="24"/>
          <w:szCs w:val="24"/>
        </w:rPr>
        <w:t xml:space="preserve"> </w:t>
      </w:r>
      <w:r w:rsidRPr="00294414">
        <w:rPr>
          <w:sz w:val="24"/>
          <w:szCs w:val="24"/>
        </w:rPr>
        <w:t>67 milhões</w:t>
      </w:r>
      <w:r>
        <w:rPr>
          <w:sz w:val="24"/>
          <w:szCs w:val="24"/>
        </w:rPr>
        <w:t>; e n</w:t>
      </w:r>
      <w:r w:rsidRPr="00294414">
        <w:rPr>
          <w:sz w:val="24"/>
          <w:szCs w:val="24"/>
        </w:rPr>
        <w:t>a contramão, o Imposto de Exportação (IE) passou de R$</w:t>
      </w:r>
      <w:r>
        <w:rPr>
          <w:sz w:val="24"/>
          <w:szCs w:val="24"/>
        </w:rPr>
        <w:t xml:space="preserve"> </w:t>
      </w:r>
      <w:r w:rsidRPr="00294414">
        <w:rPr>
          <w:sz w:val="24"/>
          <w:szCs w:val="24"/>
        </w:rPr>
        <w:t>4,7 bilhões para R$</w:t>
      </w:r>
      <w:r>
        <w:rPr>
          <w:sz w:val="24"/>
          <w:szCs w:val="24"/>
        </w:rPr>
        <w:t xml:space="preserve"> </w:t>
      </w:r>
      <w:r w:rsidRPr="00294414">
        <w:rPr>
          <w:sz w:val="24"/>
          <w:szCs w:val="24"/>
        </w:rPr>
        <w:t xml:space="preserve">13 milhões, havendo uma </w:t>
      </w:r>
      <w:r>
        <w:rPr>
          <w:sz w:val="24"/>
          <w:szCs w:val="24"/>
        </w:rPr>
        <w:t xml:space="preserve">forte </w:t>
      </w:r>
      <w:r w:rsidRPr="00294414">
        <w:rPr>
          <w:sz w:val="24"/>
          <w:szCs w:val="24"/>
        </w:rPr>
        <w:t xml:space="preserve">redução em sua receita. </w:t>
      </w:r>
    </w:p>
    <w:p w14:paraId="0414A50E" w14:textId="3C9A0984" w:rsidR="00C36A00" w:rsidRDefault="00F11F80" w:rsidP="00DC72FF">
      <w:pPr>
        <w:spacing w:line="360" w:lineRule="auto"/>
        <w:jc w:val="center"/>
        <w:rPr>
          <w:sz w:val="24"/>
          <w:szCs w:val="24"/>
        </w:rPr>
      </w:pPr>
      <w:r w:rsidRPr="00C36A00">
        <w:rPr>
          <w:b/>
          <w:bCs/>
          <w:sz w:val="24"/>
          <w:szCs w:val="24"/>
        </w:rPr>
        <w:t xml:space="preserve">Gráfico </w:t>
      </w:r>
      <w:r w:rsidR="00BF66D6">
        <w:rPr>
          <w:b/>
          <w:bCs/>
          <w:sz w:val="24"/>
          <w:szCs w:val="24"/>
        </w:rPr>
        <w:t>5</w:t>
      </w:r>
      <w:r w:rsidR="00C36A00">
        <w:rPr>
          <w:sz w:val="24"/>
          <w:szCs w:val="24"/>
        </w:rPr>
        <w:t xml:space="preserve"> – Evolução dos impostos indiretos</w:t>
      </w:r>
    </w:p>
    <w:p w14:paraId="4EFB3407" w14:textId="5AA562BD" w:rsidR="001153BD" w:rsidRDefault="00D904C5" w:rsidP="00C36A00">
      <w:pPr>
        <w:spacing w:line="360" w:lineRule="auto"/>
        <w:ind w:firstLine="709"/>
        <w:jc w:val="center"/>
        <w:rPr>
          <w:sz w:val="24"/>
          <w:szCs w:val="24"/>
        </w:rPr>
      </w:pPr>
      <w:r>
        <w:rPr>
          <w:noProof/>
        </w:rPr>
        <w:drawing>
          <wp:inline distT="0" distB="0" distL="0" distR="0" wp14:anchorId="15C9C501" wp14:editId="0CCA1C5A">
            <wp:extent cx="5313045" cy="1835150"/>
            <wp:effectExtent l="0" t="0" r="1905" b="12700"/>
            <wp:docPr id="3" name="Gráfico 3">
              <a:extLst xmlns:a="http://schemas.openxmlformats.org/drawingml/2006/main">
                <a:ext uri="{FF2B5EF4-FFF2-40B4-BE49-F238E27FC236}">
                  <a16:creationId xmlns:a16="http://schemas.microsoft.com/office/drawing/2014/main" id="{0E879A39-7082-5349-051F-43925AB5C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CAC6C2" w14:textId="5E7D6048" w:rsidR="00F21076" w:rsidRPr="00D630DC" w:rsidRDefault="00C36A00" w:rsidP="00D630DC">
      <w:pPr>
        <w:spacing w:line="360" w:lineRule="auto"/>
        <w:jc w:val="center"/>
        <w:rPr>
          <w:sz w:val="20"/>
          <w:szCs w:val="20"/>
        </w:rPr>
      </w:pPr>
      <w:r w:rsidRPr="00D57E15">
        <w:rPr>
          <w:sz w:val="20"/>
          <w:szCs w:val="20"/>
        </w:rPr>
        <w:t>Fonte: Elaboração própria (SIGA, 2025)</w:t>
      </w:r>
    </w:p>
    <w:p w14:paraId="146990DC" w14:textId="6563DB5E" w:rsidR="00897787" w:rsidRPr="00294414" w:rsidRDefault="00897787" w:rsidP="00F21076">
      <w:pPr>
        <w:spacing w:line="360" w:lineRule="auto"/>
        <w:ind w:firstLine="709"/>
        <w:jc w:val="both"/>
        <w:rPr>
          <w:sz w:val="24"/>
          <w:szCs w:val="24"/>
        </w:rPr>
      </w:pPr>
      <w:r>
        <w:rPr>
          <w:sz w:val="24"/>
          <w:szCs w:val="24"/>
        </w:rPr>
        <w:t xml:space="preserve">Portanto, </w:t>
      </w:r>
      <w:r w:rsidR="00C421F6">
        <w:rPr>
          <w:sz w:val="24"/>
          <w:szCs w:val="24"/>
        </w:rPr>
        <w:t>o crescimento dos impostos indiretos superou</w:t>
      </w:r>
      <w:r>
        <w:rPr>
          <w:sz w:val="24"/>
          <w:szCs w:val="24"/>
        </w:rPr>
        <w:t xml:space="preserve"> em mais de três vezes o dos impostos diretos no período analisado.</w:t>
      </w:r>
    </w:p>
    <w:p w14:paraId="7362AFB7" w14:textId="77777777" w:rsidR="0036231C" w:rsidRDefault="00897787" w:rsidP="00294414">
      <w:pPr>
        <w:spacing w:line="360" w:lineRule="auto"/>
        <w:ind w:firstLine="709"/>
        <w:jc w:val="both"/>
        <w:rPr>
          <w:sz w:val="24"/>
          <w:szCs w:val="24"/>
        </w:rPr>
      </w:pPr>
      <w:r>
        <w:rPr>
          <w:sz w:val="24"/>
          <w:szCs w:val="24"/>
        </w:rPr>
        <w:lastRenderedPageBreak/>
        <w:t xml:space="preserve">E quando se associa as receitas de impostos e de contribuições da União, na perspectiva de identificar a natureza da arrecadação tributária progressiva e regressiva, como </w:t>
      </w:r>
      <w:r w:rsidR="0036231C">
        <w:rPr>
          <w:sz w:val="24"/>
          <w:szCs w:val="24"/>
        </w:rPr>
        <w:t xml:space="preserve">estas </w:t>
      </w:r>
      <w:r>
        <w:rPr>
          <w:sz w:val="24"/>
          <w:szCs w:val="24"/>
        </w:rPr>
        <w:t>se apresent</w:t>
      </w:r>
      <w:r w:rsidR="0036231C">
        <w:rPr>
          <w:sz w:val="24"/>
          <w:szCs w:val="24"/>
        </w:rPr>
        <w:t>aram</w:t>
      </w:r>
      <w:r>
        <w:rPr>
          <w:sz w:val="24"/>
          <w:szCs w:val="24"/>
        </w:rPr>
        <w:t xml:space="preserve"> no biênio analisado</w:t>
      </w:r>
      <w:r w:rsidR="0036231C">
        <w:rPr>
          <w:sz w:val="24"/>
          <w:szCs w:val="24"/>
        </w:rPr>
        <w:t>?</w:t>
      </w:r>
    </w:p>
    <w:p w14:paraId="78862B6D" w14:textId="6AAB14B8" w:rsidR="00294414" w:rsidRPr="00294414" w:rsidRDefault="00294414" w:rsidP="00294414">
      <w:pPr>
        <w:spacing w:line="360" w:lineRule="auto"/>
        <w:ind w:firstLine="709"/>
        <w:jc w:val="both"/>
        <w:rPr>
          <w:sz w:val="24"/>
          <w:szCs w:val="24"/>
        </w:rPr>
      </w:pPr>
      <w:r w:rsidRPr="00294414">
        <w:rPr>
          <w:sz w:val="24"/>
          <w:szCs w:val="24"/>
        </w:rPr>
        <w:t xml:space="preserve">A partir disso, </w:t>
      </w:r>
      <w:r w:rsidR="0036231C">
        <w:rPr>
          <w:sz w:val="24"/>
          <w:szCs w:val="24"/>
        </w:rPr>
        <w:t>considerou-se</w:t>
      </w:r>
      <w:r w:rsidRPr="00294414">
        <w:rPr>
          <w:sz w:val="24"/>
          <w:szCs w:val="24"/>
        </w:rPr>
        <w:t xml:space="preserve"> como receitas progressivas </w:t>
      </w:r>
      <w:r w:rsidR="0036231C">
        <w:rPr>
          <w:sz w:val="24"/>
          <w:szCs w:val="24"/>
        </w:rPr>
        <w:t xml:space="preserve">as de </w:t>
      </w:r>
      <w:r w:rsidRPr="00294414">
        <w:rPr>
          <w:sz w:val="24"/>
          <w:szCs w:val="24"/>
        </w:rPr>
        <w:t xml:space="preserve">impostos diretos e </w:t>
      </w:r>
      <w:r w:rsidR="0036231C">
        <w:rPr>
          <w:sz w:val="24"/>
          <w:szCs w:val="24"/>
        </w:rPr>
        <w:t>de</w:t>
      </w:r>
      <w:r w:rsidRPr="00294414">
        <w:rPr>
          <w:sz w:val="24"/>
          <w:szCs w:val="24"/>
        </w:rPr>
        <w:t xml:space="preserve"> contribuição previdenciária do segurado</w:t>
      </w:r>
      <w:r w:rsidR="0036231C">
        <w:rPr>
          <w:sz w:val="24"/>
          <w:szCs w:val="24"/>
        </w:rPr>
        <w:t>. As</w:t>
      </w:r>
      <w:r w:rsidRPr="00294414">
        <w:rPr>
          <w:sz w:val="24"/>
          <w:szCs w:val="24"/>
        </w:rPr>
        <w:t xml:space="preserve"> receitas regressivas incluem os impostos indiretos e as </w:t>
      </w:r>
      <w:r w:rsidR="0036231C">
        <w:rPr>
          <w:sz w:val="24"/>
          <w:szCs w:val="24"/>
        </w:rPr>
        <w:t xml:space="preserve">seguintes </w:t>
      </w:r>
      <w:r w:rsidRPr="00294414">
        <w:rPr>
          <w:sz w:val="24"/>
          <w:szCs w:val="24"/>
        </w:rPr>
        <w:t>contribuições</w:t>
      </w:r>
      <w:r w:rsidR="0036231C">
        <w:rPr>
          <w:sz w:val="24"/>
          <w:szCs w:val="24"/>
        </w:rPr>
        <w:t>:</w:t>
      </w:r>
      <w:r w:rsidRPr="00294414">
        <w:rPr>
          <w:sz w:val="24"/>
          <w:szCs w:val="24"/>
        </w:rPr>
        <w:t xml:space="preserve"> COFINS, CSLL, PIS/PASEP e a contribuição previdenciária patronal</w:t>
      </w:r>
      <w:r w:rsidR="00C421F6">
        <w:rPr>
          <w:sz w:val="24"/>
          <w:szCs w:val="24"/>
        </w:rPr>
        <w:t>.</w:t>
      </w:r>
    </w:p>
    <w:p w14:paraId="11CD8224" w14:textId="3E099EE9" w:rsidR="00294414" w:rsidRPr="00294414" w:rsidRDefault="00294414" w:rsidP="000A3879">
      <w:pPr>
        <w:spacing w:line="360" w:lineRule="auto"/>
        <w:ind w:firstLine="709"/>
        <w:jc w:val="both"/>
        <w:rPr>
          <w:sz w:val="24"/>
          <w:szCs w:val="24"/>
        </w:rPr>
      </w:pPr>
      <w:r w:rsidRPr="00294414">
        <w:rPr>
          <w:sz w:val="24"/>
          <w:szCs w:val="24"/>
        </w:rPr>
        <w:t> Em 2023, a soma das receitas progressivas correspondeu a R$</w:t>
      </w:r>
      <w:r w:rsidR="00C421F6">
        <w:rPr>
          <w:sz w:val="24"/>
          <w:szCs w:val="24"/>
        </w:rPr>
        <w:t xml:space="preserve"> </w:t>
      </w:r>
      <w:r w:rsidRPr="00294414">
        <w:rPr>
          <w:sz w:val="24"/>
          <w:szCs w:val="24"/>
        </w:rPr>
        <w:t>924 bilhões. No mesmo ano, as receitas regressivas totalizaram R$</w:t>
      </w:r>
      <w:r w:rsidR="00C421F6">
        <w:rPr>
          <w:sz w:val="24"/>
          <w:szCs w:val="24"/>
        </w:rPr>
        <w:t xml:space="preserve"> </w:t>
      </w:r>
      <w:r w:rsidRPr="00294414">
        <w:rPr>
          <w:sz w:val="24"/>
          <w:szCs w:val="24"/>
        </w:rPr>
        <w:t>1</w:t>
      </w:r>
      <w:r w:rsidR="005521F5">
        <w:rPr>
          <w:sz w:val="24"/>
          <w:szCs w:val="24"/>
        </w:rPr>
        <w:t>,</w:t>
      </w:r>
      <w:r w:rsidRPr="00294414">
        <w:rPr>
          <w:sz w:val="24"/>
          <w:szCs w:val="24"/>
        </w:rPr>
        <w:t>1 trilhão. Assim, sobre um total de R$</w:t>
      </w:r>
      <w:r w:rsidR="00C421F6">
        <w:rPr>
          <w:sz w:val="24"/>
          <w:szCs w:val="24"/>
        </w:rPr>
        <w:t xml:space="preserve"> </w:t>
      </w:r>
      <w:r w:rsidRPr="00294414">
        <w:rPr>
          <w:sz w:val="24"/>
          <w:szCs w:val="24"/>
        </w:rPr>
        <w:t>2 trilhões em receitas</w:t>
      </w:r>
      <w:r w:rsidR="0036231C">
        <w:rPr>
          <w:sz w:val="24"/>
          <w:szCs w:val="24"/>
        </w:rPr>
        <w:t xml:space="preserve"> arrecadadas</w:t>
      </w:r>
      <w:r w:rsidRPr="00294414">
        <w:rPr>
          <w:sz w:val="24"/>
          <w:szCs w:val="24"/>
        </w:rPr>
        <w:t xml:space="preserve">, 43,6% </w:t>
      </w:r>
      <w:r w:rsidR="0036231C">
        <w:rPr>
          <w:sz w:val="24"/>
          <w:szCs w:val="24"/>
        </w:rPr>
        <w:t>foram</w:t>
      </w:r>
      <w:r w:rsidRPr="00294414">
        <w:rPr>
          <w:sz w:val="24"/>
          <w:szCs w:val="24"/>
        </w:rPr>
        <w:t xml:space="preserve"> progressivas e 56,4% regressivas.</w:t>
      </w:r>
      <w:r w:rsidR="000A3879">
        <w:rPr>
          <w:sz w:val="24"/>
          <w:szCs w:val="24"/>
        </w:rPr>
        <w:t xml:space="preserve"> </w:t>
      </w:r>
      <w:r w:rsidRPr="00294414">
        <w:rPr>
          <w:sz w:val="24"/>
          <w:szCs w:val="24"/>
        </w:rPr>
        <w:t xml:space="preserve">Em 2024, </w:t>
      </w:r>
      <w:r w:rsidR="00F21076">
        <w:rPr>
          <w:sz w:val="24"/>
          <w:szCs w:val="24"/>
        </w:rPr>
        <w:t>a</w:t>
      </w:r>
      <w:r w:rsidRPr="00294414">
        <w:rPr>
          <w:sz w:val="24"/>
          <w:szCs w:val="24"/>
        </w:rPr>
        <w:t>s receitas progressivas totalizaram R$</w:t>
      </w:r>
      <w:r w:rsidR="00F21076">
        <w:rPr>
          <w:sz w:val="24"/>
          <w:szCs w:val="24"/>
        </w:rPr>
        <w:t xml:space="preserve"> </w:t>
      </w:r>
      <w:r w:rsidRPr="00294414">
        <w:rPr>
          <w:sz w:val="24"/>
          <w:szCs w:val="24"/>
        </w:rPr>
        <w:t xml:space="preserve">970 bilhões. </w:t>
      </w:r>
      <w:r w:rsidR="00290B97">
        <w:rPr>
          <w:sz w:val="24"/>
          <w:szCs w:val="24"/>
        </w:rPr>
        <w:t>A</w:t>
      </w:r>
      <w:r w:rsidRPr="00294414">
        <w:rPr>
          <w:sz w:val="24"/>
          <w:szCs w:val="24"/>
        </w:rPr>
        <w:t>s receitas regressivas somaram R$</w:t>
      </w:r>
      <w:r w:rsidR="00C421F6">
        <w:rPr>
          <w:sz w:val="24"/>
          <w:szCs w:val="24"/>
        </w:rPr>
        <w:t xml:space="preserve"> </w:t>
      </w:r>
      <w:r w:rsidRPr="00294414">
        <w:rPr>
          <w:sz w:val="24"/>
          <w:szCs w:val="24"/>
        </w:rPr>
        <w:t>1</w:t>
      </w:r>
      <w:r w:rsidR="00F21076">
        <w:rPr>
          <w:sz w:val="24"/>
          <w:szCs w:val="24"/>
        </w:rPr>
        <w:t>,</w:t>
      </w:r>
      <w:r w:rsidRPr="00294414">
        <w:rPr>
          <w:sz w:val="24"/>
          <w:szCs w:val="24"/>
        </w:rPr>
        <w:t>3 trilh</w:t>
      </w:r>
      <w:r w:rsidR="00290B97">
        <w:rPr>
          <w:sz w:val="24"/>
          <w:szCs w:val="24"/>
        </w:rPr>
        <w:t>ão</w:t>
      </w:r>
      <w:r w:rsidRPr="00294414">
        <w:rPr>
          <w:sz w:val="24"/>
          <w:szCs w:val="24"/>
        </w:rPr>
        <w:t>. Sobre um total de R$</w:t>
      </w:r>
      <w:r w:rsidR="00F21076">
        <w:rPr>
          <w:sz w:val="24"/>
          <w:szCs w:val="24"/>
        </w:rPr>
        <w:t xml:space="preserve"> </w:t>
      </w:r>
      <w:r w:rsidRPr="00294414">
        <w:rPr>
          <w:sz w:val="24"/>
          <w:szCs w:val="24"/>
        </w:rPr>
        <w:t>2</w:t>
      </w:r>
      <w:r w:rsidR="00C421F6">
        <w:rPr>
          <w:sz w:val="24"/>
          <w:szCs w:val="24"/>
        </w:rPr>
        <w:t>,</w:t>
      </w:r>
      <w:r w:rsidRPr="00294414">
        <w:rPr>
          <w:sz w:val="24"/>
          <w:szCs w:val="24"/>
        </w:rPr>
        <w:t>2 trilhões em arrecadação analisada, 42,4% corresponderam a receitas progressivas e 57,6% a receitas regressivas. </w:t>
      </w:r>
    </w:p>
    <w:p w14:paraId="1406478B" w14:textId="610901B0" w:rsidR="00294414" w:rsidRPr="00294414" w:rsidRDefault="00294414" w:rsidP="00294414">
      <w:pPr>
        <w:spacing w:line="360" w:lineRule="auto"/>
        <w:ind w:firstLine="709"/>
        <w:jc w:val="both"/>
        <w:rPr>
          <w:sz w:val="24"/>
          <w:szCs w:val="24"/>
        </w:rPr>
      </w:pPr>
      <w:r w:rsidRPr="00294414">
        <w:rPr>
          <w:sz w:val="24"/>
          <w:szCs w:val="24"/>
        </w:rPr>
        <w:t xml:space="preserve">Esses resultados confirmam a prevalência de uma estrutura tributária brasileira de caráter </w:t>
      </w:r>
      <w:r w:rsidR="00C421F6" w:rsidRPr="00294414">
        <w:rPr>
          <w:sz w:val="24"/>
          <w:szCs w:val="24"/>
        </w:rPr>
        <w:t>regressivo, com</w:t>
      </w:r>
      <w:r w:rsidR="0089177D">
        <w:rPr>
          <w:sz w:val="24"/>
          <w:szCs w:val="24"/>
        </w:rPr>
        <w:t xml:space="preserve"> </w:t>
      </w:r>
      <w:r w:rsidRPr="00294414">
        <w:rPr>
          <w:sz w:val="24"/>
          <w:szCs w:val="24"/>
        </w:rPr>
        <w:t>avanço da participação de receitas regressivas em 2024. Tal configuração evidencia que a maior parte da arrecadação federal se concentra em tributos indiretos e contribuições repassadas aos preços, penalizando proporcionalmente mais as camadas populares e limitando a capacidade redistributiva do Estado.</w:t>
      </w:r>
    </w:p>
    <w:p w14:paraId="2FCAE87A" w14:textId="343EC87B" w:rsidR="00B03E4E" w:rsidRDefault="009A68B0">
      <w:pPr>
        <w:spacing w:line="360" w:lineRule="auto"/>
        <w:jc w:val="both"/>
        <w:rPr>
          <w:b/>
          <w:sz w:val="24"/>
          <w:szCs w:val="24"/>
        </w:rPr>
      </w:pPr>
      <w:r>
        <w:rPr>
          <w:b/>
          <w:sz w:val="24"/>
          <w:szCs w:val="24"/>
        </w:rPr>
        <w:t>3</w:t>
      </w:r>
      <w:r>
        <w:rPr>
          <w:b/>
          <w:sz w:val="24"/>
          <w:szCs w:val="24"/>
        </w:rPr>
        <w:tab/>
        <w:t>CONCLUSÃO</w:t>
      </w:r>
    </w:p>
    <w:p w14:paraId="350CB15A" w14:textId="647DF310" w:rsidR="00294414" w:rsidRPr="00294414" w:rsidRDefault="00294414" w:rsidP="00294414">
      <w:pPr>
        <w:spacing w:line="360" w:lineRule="auto"/>
        <w:ind w:firstLine="720"/>
        <w:jc w:val="both"/>
        <w:rPr>
          <w:sz w:val="24"/>
          <w:szCs w:val="24"/>
        </w:rPr>
      </w:pPr>
      <w:r w:rsidRPr="00294414">
        <w:rPr>
          <w:sz w:val="24"/>
          <w:szCs w:val="24"/>
        </w:rPr>
        <w:t xml:space="preserve">A análise da receita pública da União no biênio 2023-2024 mostra que o fundo público é majoritariamente formado por contribuições sociais e arrecadação tributária, ambas em crescimento e essenciais para o financiamento estatal. Contudo, a composição dessas receitas revela desigualdades na distribuição dos encargos, especialmente para as classes trabalhadoras. </w:t>
      </w:r>
      <w:r w:rsidR="00153C9B">
        <w:rPr>
          <w:sz w:val="24"/>
          <w:szCs w:val="24"/>
        </w:rPr>
        <w:t>As c</w:t>
      </w:r>
      <w:r w:rsidRPr="00294414">
        <w:rPr>
          <w:sz w:val="24"/>
          <w:szCs w:val="24"/>
        </w:rPr>
        <w:t>ontribuições</w:t>
      </w:r>
      <w:r w:rsidR="00153C9B">
        <w:rPr>
          <w:sz w:val="24"/>
          <w:szCs w:val="24"/>
        </w:rPr>
        <w:t>,</w:t>
      </w:r>
      <w:r w:rsidRPr="00294414">
        <w:rPr>
          <w:sz w:val="24"/>
          <w:szCs w:val="24"/>
        </w:rPr>
        <w:t xml:space="preserve"> embora destinadas à seguridade social, oneram mais os trabalhadores ao serem repassadas aos preços finais, assumindo caráter regressivo.</w:t>
      </w:r>
    </w:p>
    <w:p w14:paraId="42FC8F27" w14:textId="77777777" w:rsidR="00294414" w:rsidRPr="00294414" w:rsidRDefault="00294414" w:rsidP="00294414">
      <w:pPr>
        <w:spacing w:line="360" w:lineRule="auto"/>
        <w:ind w:firstLine="720"/>
        <w:jc w:val="both"/>
        <w:rPr>
          <w:sz w:val="24"/>
          <w:szCs w:val="24"/>
        </w:rPr>
      </w:pPr>
      <w:r w:rsidRPr="00294414">
        <w:rPr>
          <w:sz w:val="24"/>
          <w:szCs w:val="24"/>
        </w:rPr>
        <w:t xml:space="preserve">Na arrecadação tributária, embora prevaleçam impostos diretos, o crescimento acelerado dos impostos indiretos, com alta de 19,6% contra 5,5% dos diretos, amplia </w:t>
      </w:r>
      <w:r w:rsidRPr="00294414">
        <w:rPr>
          <w:sz w:val="24"/>
          <w:szCs w:val="24"/>
        </w:rPr>
        <w:lastRenderedPageBreak/>
        <w:t>a carga sobre o consumo das camadas populares, aprofundando a seletividade fiscal que privilegia os mais ricos. Assim, contribuições e tributos atuam conjuntamente para reproduzir desigualdades sociais, mostrando que o fundo público expressa as relações de força entre classes e serve frequentemente aos interesses dos grupos dominantes.</w:t>
      </w:r>
    </w:p>
    <w:p w14:paraId="6E0CB39E" w14:textId="4EE29D94" w:rsidR="00294414" w:rsidRPr="00294414" w:rsidRDefault="00294414" w:rsidP="00294414">
      <w:pPr>
        <w:spacing w:line="360" w:lineRule="auto"/>
        <w:ind w:firstLine="720"/>
        <w:jc w:val="both"/>
        <w:rPr>
          <w:sz w:val="24"/>
          <w:szCs w:val="24"/>
        </w:rPr>
      </w:pPr>
      <w:r w:rsidRPr="00294414">
        <w:rPr>
          <w:sz w:val="24"/>
          <w:szCs w:val="24"/>
        </w:rPr>
        <w:t>Vale ressaltar também que as operações de crédito, apesar de não tão relevantes, se comparadas às outras receitas da ROT, destinam grande parte dos recursos ao pagamento de encargos financeiros que beneficiam o setor empresarial, reforçando a concentração de renda. </w:t>
      </w:r>
    </w:p>
    <w:p w14:paraId="7853962D" w14:textId="1295B5B4" w:rsidR="00294414" w:rsidRPr="00294414" w:rsidRDefault="00294414" w:rsidP="00294414">
      <w:pPr>
        <w:spacing w:line="360" w:lineRule="auto"/>
        <w:ind w:firstLine="720"/>
        <w:jc w:val="both"/>
        <w:rPr>
          <w:sz w:val="24"/>
          <w:szCs w:val="24"/>
        </w:rPr>
      </w:pPr>
      <w:r w:rsidRPr="00294414">
        <w:rPr>
          <w:sz w:val="24"/>
          <w:szCs w:val="24"/>
        </w:rPr>
        <w:t>Os resultados apurados no biênio confirmam a tendência regressiva, revelando que mais da metade das receitas federais analisadas, focadas na arrecadação tributária e contribuições sociais, provêm de fontes regressivas, com 56,4% em 2023 (R$ 1</w:t>
      </w:r>
      <w:r w:rsidR="005521F5">
        <w:rPr>
          <w:sz w:val="24"/>
          <w:szCs w:val="24"/>
        </w:rPr>
        <w:t>,</w:t>
      </w:r>
      <w:r w:rsidRPr="00294414">
        <w:rPr>
          <w:sz w:val="24"/>
          <w:szCs w:val="24"/>
        </w:rPr>
        <w:t>1 trilhões) e 57,6% em 2024 (R$ 1</w:t>
      </w:r>
      <w:r w:rsidR="005521F5">
        <w:rPr>
          <w:sz w:val="24"/>
          <w:szCs w:val="24"/>
        </w:rPr>
        <w:t>,</w:t>
      </w:r>
      <w:r w:rsidRPr="00294414">
        <w:rPr>
          <w:sz w:val="24"/>
          <w:szCs w:val="24"/>
        </w:rPr>
        <w:t>3 trilhões), percentual que cresceu no período. Esse comportamento evidencia que a maior parte do financiamento estatal recai sobre tributos indiretos e contribuições transferidas aos preços de mercado, que incidem indistintamente sobre o consumo e impactam proporcionalmente mais as camadas populares.</w:t>
      </w:r>
    </w:p>
    <w:p w14:paraId="39B53E33" w14:textId="77777777" w:rsidR="00294414" w:rsidRPr="00294414" w:rsidRDefault="00294414" w:rsidP="00294414">
      <w:pPr>
        <w:spacing w:line="360" w:lineRule="auto"/>
        <w:ind w:firstLine="720"/>
        <w:jc w:val="both"/>
        <w:rPr>
          <w:sz w:val="24"/>
          <w:szCs w:val="24"/>
        </w:rPr>
      </w:pPr>
      <w:r w:rsidRPr="00294414">
        <w:rPr>
          <w:sz w:val="24"/>
          <w:szCs w:val="24"/>
        </w:rPr>
        <w:t> Essa predominância de mecanismos regressivos limita o potencial redistributivo do fundo público e reproduz a concentração de renda, pois isenta, proporcionalmente, as altas rendas e o patrimônio das classes dominantes, aprofundando as desigualdades estruturais do país. </w:t>
      </w:r>
    </w:p>
    <w:p w14:paraId="7903C506" w14:textId="31F2ECE9" w:rsidR="00D45D49" w:rsidRDefault="009A68B0" w:rsidP="00E67687">
      <w:pPr>
        <w:spacing w:line="360" w:lineRule="auto"/>
        <w:rPr>
          <w:b/>
          <w:sz w:val="24"/>
          <w:szCs w:val="24"/>
        </w:rPr>
      </w:pPr>
      <w:r>
        <w:rPr>
          <w:b/>
          <w:sz w:val="24"/>
          <w:szCs w:val="24"/>
        </w:rPr>
        <w:t xml:space="preserve">REFERÊNCIAS </w:t>
      </w:r>
    </w:p>
    <w:p w14:paraId="5AFF0883" w14:textId="77777777" w:rsidR="00837780" w:rsidRPr="00837780" w:rsidRDefault="00837780" w:rsidP="00B30BE4">
      <w:pPr>
        <w:spacing w:line="240" w:lineRule="auto"/>
        <w:rPr>
          <w:sz w:val="24"/>
          <w:szCs w:val="24"/>
        </w:rPr>
      </w:pPr>
      <w:r w:rsidRPr="00837780">
        <w:rPr>
          <w:sz w:val="24"/>
          <w:szCs w:val="24"/>
        </w:rPr>
        <w:t xml:space="preserve">ALENCAR JÚNIOR, Osmar Gomes de. </w:t>
      </w:r>
      <w:r w:rsidRPr="00837780">
        <w:rPr>
          <w:b/>
          <w:bCs/>
          <w:sz w:val="24"/>
          <w:szCs w:val="24"/>
        </w:rPr>
        <w:t>Estado e Fundo Público</w:t>
      </w:r>
      <w:r w:rsidRPr="00837780">
        <w:rPr>
          <w:sz w:val="24"/>
          <w:szCs w:val="24"/>
        </w:rPr>
        <w:t>: a disputa entre capital e trabalho no Nordeste do Brasil. 1. ed. Curitiba: Editora CRV, 2021. DOI: 10.24824/978655868324.7.</w:t>
      </w:r>
    </w:p>
    <w:p w14:paraId="30194B73" w14:textId="77777777" w:rsidR="00B30BE4" w:rsidRDefault="00B30BE4" w:rsidP="00B30BE4">
      <w:pPr>
        <w:spacing w:line="240" w:lineRule="auto"/>
        <w:rPr>
          <w:sz w:val="24"/>
          <w:szCs w:val="24"/>
        </w:rPr>
      </w:pPr>
    </w:p>
    <w:p w14:paraId="04F66010" w14:textId="1783A338" w:rsidR="00837780" w:rsidRPr="00837780" w:rsidRDefault="007B2B52" w:rsidP="00B30BE4">
      <w:pPr>
        <w:spacing w:line="240" w:lineRule="auto"/>
        <w:rPr>
          <w:sz w:val="24"/>
          <w:szCs w:val="24"/>
        </w:rPr>
      </w:pPr>
      <w:r w:rsidRPr="00837780">
        <w:rPr>
          <w:sz w:val="24"/>
          <w:szCs w:val="24"/>
        </w:rPr>
        <w:t>BEHRING</w:t>
      </w:r>
      <w:r w:rsidR="00837780" w:rsidRPr="00837780">
        <w:rPr>
          <w:sz w:val="24"/>
          <w:szCs w:val="24"/>
        </w:rPr>
        <w:t xml:space="preserve">, E. R.; BOSCHETTI, I. </w:t>
      </w:r>
      <w:r w:rsidR="00837780" w:rsidRPr="00837780">
        <w:rPr>
          <w:b/>
          <w:bCs/>
          <w:sz w:val="24"/>
          <w:szCs w:val="24"/>
        </w:rPr>
        <w:t>Política social</w:t>
      </w:r>
      <w:r w:rsidR="00837780" w:rsidRPr="00837780">
        <w:rPr>
          <w:sz w:val="24"/>
          <w:szCs w:val="24"/>
        </w:rPr>
        <w:t xml:space="preserve">: </w:t>
      </w:r>
      <w:r w:rsidR="00837780" w:rsidRPr="00505055">
        <w:rPr>
          <w:b/>
          <w:bCs/>
          <w:sz w:val="24"/>
          <w:szCs w:val="24"/>
        </w:rPr>
        <w:t>fundamentos e história</w:t>
      </w:r>
      <w:r w:rsidR="00837780" w:rsidRPr="00837780">
        <w:rPr>
          <w:sz w:val="24"/>
          <w:szCs w:val="24"/>
        </w:rPr>
        <w:t>. 9. ed. São Paulo: Cortez, 2011.</w:t>
      </w:r>
    </w:p>
    <w:p w14:paraId="4F31DCAD" w14:textId="77777777" w:rsidR="00B30BE4" w:rsidRDefault="00B30BE4" w:rsidP="00B30BE4">
      <w:pPr>
        <w:spacing w:line="240" w:lineRule="auto"/>
        <w:rPr>
          <w:sz w:val="24"/>
          <w:szCs w:val="24"/>
        </w:rPr>
      </w:pPr>
    </w:p>
    <w:p w14:paraId="5CAE4A89" w14:textId="2FCE60CF" w:rsidR="00B30BE4" w:rsidRDefault="00276F09" w:rsidP="00B30BE4">
      <w:pPr>
        <w:spacing w:line="240" w:lineRule="auto"/>
        <w:rPr>
          <w:sz w:val="24"/>
          <w:szCs w:val="24"/>
        </w:rPr>
      </w:pPr>
      <w:r w:rsidRPr="00276F09">
        <w:rPr>
          <w:sz w:val="24"/>
          <w:szCs w:val="24"/>
        </w:rPr>
        <w:t xml:space="preserve">ENGELS, Friedrich. </w:t>
      </w:r>
      <w:r w:rsidRPr="00505055">
        <w:rPr>
          <w:b/>
          <w:bCs/>
          <w:sz w:val="24"/>
          <w:szCs w:val="24"/>
        </w:rPr>
        <w:t>A origem da família, da propriedade privada e do Estado</w:t>
      </w:r>
      <w:r w:rsidRPr="00276F09">
        <w:rPr>
          <w:sz w:val="24"/>
          <w:szCs w:val="24"/>
        </w:rPr>
        <w:t>. 12. ed. Rio de Janeiro: Bertrand Brasil, 1985.</w:t>
      </w:r>
    </w:p>
    <w:p w14:paraId="73EB039F" w14:textId="46EBBC94" w:rsidR="00837780" w:rsidRPr="00837780" w:rsidRDefault="00837780" w:rsidP="00B30BE4">
      <w:pPr>
        <w:spacing w:line="240" w:lineRule="auto"/>
        <w:rPr>
          <w:sz w:val="24"/>
          <w:szCs w:val="24"/>
        </w:rPr>
      </w:pPr>
      <w:r w:rsidRPr="00837780">
        <w:rPr>
          <w:sz w:val="24"/>
          <w:szCs w:val="24"/>
        </w:rPr>
        <w:lastRenderedPageBreak/>
        <w:t xml:space="preserve">GIACOMONI, James. </w:t>
      </w:r>
      <w:r w:rsidRPr="00837780">
        <w:rPr>
          <w:b/>
          <w:bCs/>
          <w:sz w:val="24"/>
          <w:szCs w:val="24"/>
        </w:rPr>
        <w:t>Orçamento público.</w:t>
      </w:r>
      <w:r w:rsidRPr="00837780">
        <w:rPr>
          <w:sz w:val="24"/>
          <w:szCs w:val="24"/>
        </w:rPr>
        <w:t xml:space="preserve"> 15. ed. </w:t>
      </w:r>
      <w:proofErr w:type="spellStart"/>
      <w:r w:rsidRPr="00837780">
        <w:rPr>
          <w:sz w:val="24"/>
          <w:szCs w:val="24"/>
        </w:rPr>
        <w:t>ampl</w:t>
      </w:r>
      <w:proofErr w:type="spellEnd"/>
      <w:r w:rsidRPr="00837780">
        <w:rPr>
          <w:sz w:val="24"/>
          <w:szCs w:val="24"/>
        </w:rPr>
        <w:t>., rev. e atual. São Paulo: Atlas, 2010.</w:t>
      </w:r>
    </w:p>
    <w:p w14:paraId="16CA93CE" w14:textId="77777777" w:rsidR="00B30BE4" w:rsidRDefault="00B30BE4" w:rsidP="00B30BE4">
      <w:pPr>
        <w:spacing w:line="240" w:lineRule="auto"/>
        <w:rPr>
          <w:sz w:val="24"/>
          <w:szCs w:val="24"/>
        </w:rPr>
      </w:pPr>
    </w:p>
    <w:p w14:paraId="19F6E1E6" w14:textId="3A5CE302" w:rsidR="00837780" w:rsidRPr="00837780" w:rsidRDefault="00837780" w:rsidP="00B30BE4">
      <w:pPr>
        <w:spacing w:line="240" w:lineRule="auto"/>
        <w:rPr>
          <w:sz w:val="24"/>
          <w:szCs w:val="24"/>
        </w:rPr>
      </w:pPr>
      <w:r w:rsidRPr="00837780">
        <w:rPr>
          <w:sz w:val="24"/>
          <w:szCs w:val="24"/>
        </w:rPr>
        <w:t xml:space="preserve">LÊNIN, Vladimir </w:t>
      </w:r>
      <w:proofErr w:type="spellStart"/>
      <w:r w:rsidRPr="00837780">
        <w:rPr>
          <w:sz w:val="24"/>
          <w:szCs w:val="24"/>
        </w:rPr>
        <w:t>Ilitch</w:t>
      </w:r>
      <w:proofErr w:type="spellEnd"/>
      <w:r w:rsidRPr="00837780">
        <w:rPr>
          <w:sz w:val="24"/>
          <w:szCs w:val="24"/>
        </w:rPr>
        <w:t xml:space="preserve">. </w:t>
      </w:r>
      <w:r w:rsidRPr="00837780">
        <w:rPr>
          <w:b/>
          <w:bCs/>
          <w:sz w:val="24"/>
          <w:szCs w:val="24"/>
        </w:rPr>
        <w:t>O Estado e a revolução</w:t>
      </w:r>
      <w:r w:rsidRPr="00837780">
        <w:rPr>
          <w:sz w:val="24"/>
          <w:szCs w:val="24"/>
        </w:rPr>
        <w:t>: a doutrina do marxismo sobre o Estado e as tarefas do proletariado na revolução. 1. ed. São Paulo: Boitempo, 2017.</w:t>
      </w:r>
    </w:p>
    <w:p w14:paraId="26CB23C6" w14:textId="77777777" w:rsidR="00B30BE4" w:rsidRDefault="00B30BE4" w:rsidP="00B30BE4">
      <w:pPr>
        <w:spacing w:line="240" w:lineRule="auto"/>
        <w:rPr>
          <w:sz w:val="24"/>
          <w:szCs w:val="24"/>
        </w:rPr>
      </w:pPr>
    </w:p>
    <w:p w14:paraId="13E6BCB4" w14:textId="42ADF635" w:rsidR="00491AB5" w:rsidRDefault="00491AB5" w:rsidP="00B30BE4">
      <w:pPr>
        <w:spacing w:line="240" w:lineRule="auto"/>
        <w:rPr>
          <w:sz w:val="24"/>
          <w:szCs w:val="24"/>
        </w:rPr>
      </w:pPr>
      <w:r w:rsidRPr="00491AB5">
        <w:rPr>
          <w:sz w:val="24"/>
          <w:szCs w:val="24"/>
        </w:rPr>
        <w:t xml:space="preserve">MARX, Karl; ENGELS, Friedrich. </w:t>
      </w:r>
      <w:r w:rsidRPr="00491AB5">
        <w:rPr>
          <w:b/>
          <w:bCs/>
          <w:sz w:val="24"/>
          <w:szCs w:val="24"/>
        </w:rPr>
        <w:t>Manifesto do Partido Comunista.</w:t>
      </w:r>
      <w:r w:rsidRPr="00491AB5">
        <w:rPr>
          <w:sz w:val="24"/>
          <w:szCs w:val="24"/>
        </w:rPr>
        <w:t xml:space="preserve"> São Paulo: Editora </w:t>
      </w:r>
      <w:proofErr w:type="spellStart"/>
      <w:r w:rsidRPr="00491AB5">
        <w:rPr>
          <w:sz w:val="24"/>
          <w:szCs w:val="24"/>
        </w:rPr>
        <w:t>Lafonte</w:t>
      </w:r>
      <w:proofErr w:type="spellEnd"/>
      <w:r w:rsidRPr="00491AB5">
        <w:rPr>
          <w:sz w:val="24"/>
          <w:szCs w:val="24"/>
        </w:rPr>
        <w:t> Ltda, 2018.</w:t>
      </w:r>
    </w:p>
    <w:p w14:paraId="540F2A7B" w14:textId="77777777" w:rsidR="00B30BE4" w:rsidRDefault="00B30BE4" w:rsidP="00B30BE4">
      <w:pPr>
        <w:spacing w:line="240" w:lineRule="auto"/>
        <w:rPr>
          <w:sz w:val="24"/>
          <w:szCs w:val="24"/>
        </w:rPr>
      </w:pPr>
    </w:p>
    <w:p w14:paraId="74587462" w14:textId="5A283892" w:rsidR="00491AB5" w:rsidRDefault="00491AB5" w:rsidP="00B30BE4">
      <w:pPr>
        <w:spacing w:line="240" w:lineRule="auto"/>
        <w:rPr>
          <w:sz w:val="24"/>
          <w:szCs w:val="24"/>
        </w:rPr>
      </w:pPr>
      <w:r w:rsidRPr="00491AB5">
        <w:rPr>
          <w:sz w:val="24"/>
          <w:szCs w:val="24"/>
        </w:rPr>
        <w:t>MARX, K</w:t>
      </w:r>
      <w:r>
        <w:rPr>
          <w:sz w:val="24"/>
          <w:szCs w:val="24"/>
        </w:rPr>
        <w:t>arl</w:t>
      </w:r>
      <w:r w:rsidRPr="00491AB5">
        <w:rPr>
          <w:sz w:val="24"/>
          <w:szCs w:val="24"/>
        </w:rPr>
        <w:t>; ENGELS, F</w:t>
      </w:r>
      <w:r>
        <w:rPr>
          <w:sz w:val="24"/>
          <w:szCs w:val="24"/>
        </w:rPr>
        <w:t xml:space="preserve">riederich. </w:t>
      </w:r>
      <w:r w:rsidRPr="00491AB5">
        <w:rPr>
          <w:b/>
          <w:bCs/>
          <w:sz w:val="24"/>
          <w:szCs w:val="24"/>
        </w:rPr>
        <w:t xml:space="preserve">A ideologia alemã: crítica da mais recente filosofia alemã em seus representantes </w:t>
      </w:r>
      <w:proofErr w:type="spellStart"/>
      <w:r w:rsidRPr="00491AB5">
        <w:rPr>
          <w:b/>
          <w:bCs/>
          <w:sz w:val="24"/>
          <w:szCs w:val="24"/>
        </w:rPr>
        <w:t>Feuerbach</w:t>
      </w:r>
      <w:proofErr w:type="spellEnd"/>
      <w:r w:rsidRPr="00491AB5">
        <w:rPr>
          <w:b/>
          <w:bCs/>
          <w:sz w:val="24"/>
          <w:szCs w:val="24"/>
        </w:rPr>
        <w:t xml:space="preserve">, B. Bauer e </w:t>
      </w:r>
      <w:proofErr w:type="spellStart"/>
      <w:r w:rsidRPr="00491AB5">
        <w:rPr>
          <w:b/>
          <w:bCs/>
          <w:sz w:val="24"/>
          <w:szCs w:val="24"/>
        </w:rPr>
        <w:t>Stirner</w:t>
      </w:r>
      <w:proofErr w:type="spellEnd"/>
      <w:r w:rsidRPr="00491AB5">
        <w:rPr>
          <w:b/>
          <w:bCs/>
          <w:sz w:val="24"/>
          <w:szCs w:val="24"/>
        </w:rPr>
        <w:t>, e do socialismo alemão em seus diferentes profetas (1845-1846)</w:t>
      </w:r>
      <w:r w:rsidRPr="00F37024">
        <w:rPr>
          <w:sz w:val="24"/>
          <w:szCs w:val="24"/>
        </w:rPr>
        <w:t>. São Paulo: Boitempo, 2007.</w:t>
      </w:r>
    </w:p>
    <w:p w14:paraId="221DC818" w14:textId="77777777" w:rsidR="00B30BE4" w:rsidRDefault="00B30BE4" w:rsidP="00B30BE4">
      <w:pPr>
        <w:spacing w:line="240" w:lineRule="auto"/>
        <w:rPr>
          <w:sz w:val="24"/>
          <w:szCs w:val="24"/>
        </w:rPr>
      </w:pPr>
    </w:p>
    <w:p w14:paraId="7B4EEEBA" w14:textId="4CEFB8BE" w:rsidR="00837780" w:rsidRPr="00837780" w:rsidRDefault="00837780" w:rsidP="00B30BE4">
      <w:pPr>
        <w:spacing w:line="240" w:lineRule="auto"/>
        <w:rPr>
          <w:sz w:val="24"/>
          <w:szCs w:val="24"/>
        </w:rPr>
      </w:pPr>
      <w:r w:rsidRPr="00837780">
        <w:rPr>
          <w:sz w:val="24"/>
          <w:szCs w:val="24"/>
        </w:rPr>
        <w:t xml:space="preserve">PISCITELLI, Roberto </w:t>
      </w:r>
      <w:proofErr w:type="spellStart"/>
      <w:r w:rsidRPr="00837780">
        <w:rPr>
          <w:sz w:val="24"/>
          <w:szCs w:val="24"/>
        </w:rPr>
        <w:t>Bocaccio</w:t>
      </w:r>
      <w:proofErr w:type="spellEnd"/>
      <w:r w:rsidRPr="00837780">
        <w:rPr>
          <w:sz w:val="24"/>
          <w:szCs w:val="24"/>
        </w:rPr>
        <w:t xml:space="preserve">; TIMBÓ, Maria </w:t>
      </w:r>
      <w:proofErr w:type="spellStart"/>
      <w:r w:rsidRPr="00837780">
        <w:rPr>
          <w:sz w:val="24"/>
          <w:szCs w:val="24"/>
        </w:rPr>
        <w:t>Z</w:t>
      </w:r>
      <w:r w:rsidR="006D26AC">
        <w:rPr>
          <w:sz w:val="24"/>
          <w:szCs w:val="24"/>
        </w:rPr>
        <w:t>u</w:t>
      </w:r>
      <w:r w:rsidRPr="00837780">
        <w:rPr>
          <w:sz w:val="24"/>
          <w:szCs w:val="24"/>
        </w:rPr>
        <w:t>lene</w:t>
      </w:r>
      <w:proofErr w:type="spellEnd"/>
      <w:r w:rsidRPr="00837780">
        <w:rPr>
          <w:sz w:val="24"/>
          <w:szCs w:val="24"/>
        </w:rPr>
        <w:t xml:space="preserve"> Farias. </w:t>
      </w:r>
      <w:r w:rsidRPr="00837780">
        <w:rPr>
          <w:b/>
          <w:bCs/>
          <w:sz w:val="24"/>
          <w:szCs w:val="24"/>
        </w:rPr>
        <w:t>Contabilidade pública</w:t>
      </w:r>
      <w:r w:rsidRPr="00837780">
        <w:rPr>
          <w:sz w:val="24"/>
          <w:szCs w:val="24"/>
        </w:rPr>
        <w:t xml:space="preserve">: uma abordagem da administração pública. 14. ed. rev., </w:t>
      </w:r>
      <w:proofErr w:type="spellStart"/>
      <w:r w:rsidRPr="00837780">
        <w:rPr>
          <w:sz w:val="24"/>
          <w:szCs w:val="24"/>
        </w:rPr>
        <w:t>ampl</w:t>
      </w:r>
      <w:proofErr w:type="spellEnd"/>
      <w:r w:rsidRPr="00837780">
        <w:rPr>
          <w:sz w:val="24"/>
          <w:szCs w:val="24"/>
        </w:rPr>
        <w:t>. e atual. São Paulo: Atlas, 2019.</w:t>
      </w:r>
    </w:p>
    <w:p w14:paraId="5DC4409F" w14:textId="77777777" w:rsidR="00B30BE4" w:rsidRDefault="00B30BE4" w:rsidP="00B30BE4">
      <w:pPr>
        <w:spacing w:line="240" w:lineRule="auto"/>
        <w:rPr>
          <w:sz w:val="24"/>
          <w:szCs w:val="24"/>
        </w:rPr>
      </w:pPr>
    </w:p>
    <w:p w14:paraId="1E295D7E" w14:textId="6B9211DD" w:rsidR="00837780" w:rsidRPr="00837780" w:rsidRDefault="00837780" w:rsidP="00B30BE4">
      <w:pPr>
        <w:spacing w:line="240" w:lineRule="auto"/>
        <w:rPr>
          <w:sz w:val="24"/>
          <w:szCs w:val="24"/>
        </w:rPr>
      </w:pPr>
      <w:r w:rsidRPr="00837780">
        <w:rPr>
          <w:sz w:val="24"/>
          <w:szCs w:val="24"/>
        </w:rPr>
        <w:t xml:space="preserve">PISCITELLI, Roberto </w:t>
      </w:r>
      <w:proofErr w:type="spellStart"/>
      <w:r w:rsidRPr="00837780">
        <w:rPr>
          <w:sz w:val="24"/>
          <w:szCs w:val="24"/>
        </w:rPr>
        <w:t>Bocaccio</w:t>
      </w:r>
      <w:proofErr w:type="spellEnd"/>
      <w:r w:rsidRPr="00837780">
        <w:rPr>
          <w:sz w:val="24"/>
          <w:szCs w:val="24"/>
        </w:rPr>
        <w:t xml:space="preserve">; TIMBÓ, Maria </w:t>
      </w:r>
      <w:proofErr w:type="spellStart"/>
      <w:r w:rsidRPr="00837780">
        <w:rPr>
          <w:sz w:val="24"/>
          <w:szCs w:val="24"/>
        </w:rPr>
        <w:t>Zulene</w:t>
      </w:r>
      <w:proofErr w:type="spellEnd"/>
      <w:r w:rsidRPr="00837780">
        <w:rPr>
          <w:sz w:val="24"/>
          <w:szCs w:val="24"/>
        </w:rPr>
        <w:t xml:space="preserve"> Farias; ROSA, Maria Berenice. </w:t>
      </w:r>
      <w:r w:rsidRPr="00837780">
        <w:rPr>
          <w:b/>
          <w:bCs/>
          <w:sz w:val="24"/>
          <w:szCs w:val="24"/>
        </w:rPr>
        <w:t>Contabilidade pública</w:t>
      </w:r>
      <w:r w:rsidRPr="00837780">
        <w:rPr>
          <w:sz w:val="24"/>
          <w:szCs w:val="24"/>
        </w:rPr>
        <w:t>: uma abordagem da administração financeira pública. São Paulo: Atlas, 2006.</w:t>
      </w:r>
    </w:p>
    <w:p w14:paraId="0C668B31" w14:textId="77777777" w:rsidR="00B30BE4" w:rsidRDefault="00B30BE4" w:rsidP="00B30BE4">
      <w:pPr>
        <w:spacing w:line="240" w:lineRule="auto"/>
        <w:rPr>
          <w:sz w:val="24"/>
          <w:szCs w:val="24"/>
        </w:rPr>
      </w:pPr>
    </w:p>
    <w:p w14:paraId="1B8BE627" w14:textId="32D49166" w:rsidR="009A68B0" w:rsidRPr="00837780" w:rsidRDefault="009A68B0" w:rsidP="00B30BE4">
      <w:pPr>
        <w:spacing w:line="240" w:lineRule="auto"/>
        <w:rPr>
          <w:sz w:val="24"/>
          <w:szCs w:val="24"/>
        </w:rPr>
      </w:pPr>
      <w:r w:rsidRPr="009A68B0">
        <w:rPr>
          <w:sz w:val="24"/>
          <w:szCs w:val="24"/>
        </w:rPr>
        <w:t xml:space="preserve">POULANTZAS, N. </w:t>
      </w:r>
      <w:r w:rsidRPr="00852862">
        <w:rPr>
          <w:b/>
          <w:bCs/>
          <w:sz w:val="24"/>
          <w:szCs w:val="24"/>
        </w:rPr>
        <w:t>As classes sociais</w:t>
      </w:r>
      <w:r w:rsidRPr="009A68B0">
        <w:rPr>
          <w:sz w:val="24"/>
          <w:szCs w:val="24"/>
        </w:rPr>
        <w:t xml:space="preserve">. In: ZENTENO, </w:t>
      </w:r>
      <w:proofErr w:type="spellStart"/>
      <w:r w:rsidRPr="009A68B0">
        <w:rPr>
          <w:sz w:val="24"/>
          <w:szCs w:val="24"/>
        </w:rPr>
        <w:t>Raúl</w:t>
      </w:r>
      <w:proofErr w:type="spellEnd"/>
      <w:r w:rsidRPr="009A68B0">
        <w:rPr>
          <w:sz w:val="24"/>
          <w:szCs w:val="24"/>
        </w:rPr>
        <w:t xml:space="preserve"> Benítez (org.). </w:t>
      </w:r>
      <w:r w:rsidRPr="009A68B0">
        <w:rPr>
          <w:b/>
          <w:bCs/>
          <w:sz w:val="24"/>
          <w:szCs w:val="24"/>
        </w:rPr>
        <w:t>As classes sociais na América Latina.</w:t>
      </w:r>
      <w:r w:rsidRPr="009A68B0">
        <w:rPr>
          <w:sz w:val="24"/>
          <w:szCs w:val="24"/>
        </w:rPr>
        <w:t xml:space="preserve"> Rio de Janeiro: Paz e Terra, 1977.</w:t>
      </w:r>
    </w:p>
    <w:p w14:paraId="2A04351A" w14:textId="77777777" w:rsidR="00B30BE4" w:rsidRDefault="00B30BE4" w:rsidP="00B30BE4">
      <w:pPr>
        <w:spacing w:line="240" w:lineRule="auto"/>
        <w:rPr>
          <w:sz w:val="24"/>
          <w:szCs w:val="24"/>
        </w:rPr>
      </w:pPr>
    </w:p>
    <w:p w14:paraId="43B06DD1" w14:textId="39526BF4" w:rsidR="00837780" w:rsidRPr="00837780" w:rsidRDefault="00837780" w:rsidP="00B30BE4">
      <w:pPr>
        <w:spacing w:line="240" w:lineRule="auto"/>
        <w:rPr>
          <w:sz w:val="24"/>
          <w:szCs w:val="24"/>
        </w:rPr>
      </w:pPr>
      <w:r w:rsidRPr="00837780">
        <w:rPr>
          <w:sz w:val="24"/>
          <w:szCs w:val="24"/>
        </w:rPr>
        <w:t xml:space="preserve">SALVADOR, </w:t>
      </w:r>
      <w:proofErr w:type="spellStart"/>
      <w:r w:rsidRPr="00837780">
        <w:rPr>
          <w:sz w:val="24"/>
          <w:szCs w:val="24"/>
        </w:rPr>
        <w:t>Evilasio</w:t>
      </w:r>
      <w:proofErr w:type="spellEnd"/>
      <w:r w:rsidRPr="00837780">
        <w:rPr>
          <w:sz w:val="24"/>
          <w:szCs w:val="24"/>
        </w:rPr>
        <w:t xml:space="preserve">. </w:t>
      </w:r>
      <w:r w:rsidRPr="00837780">
        <w:rPr>
          <w:b/>
          <w:bCs/>
          <w:sz w:val="24"/>
          <w:szCs w:val="24"/>
        </w:rPr>
        <w:t>Fundo público e Seguridade Social no Brasil</w:t>
      </w:r>
      <w:r w:rsidRPr="00837780">
        <w:rPr>
          <w:sz w:val="24"/>
          <w:szCs w:val="24"/>
        </w:rPr>
        <w:t>. São Paulo: Cortez, 2010.</w:t>
      </w:r>
    </w:p>
    <w:p w14:paraId="76807697" w14:textId="77777777" w:rsidR="00B30BE4" w:rsidRDefault="00B30BE4" w:rsidP="00B30BE4">
      <w:pPr>
        <w:spacing w:line="240" w:lineRule="auto"/>
        <w:rPr>
          <w:sz w:val="24"/>
          <w:szCs w:val="24"/>
        </w:rPr>
      </w:pPr>
    </w:p>
    <w:p w14:paraId="3EA546C2" w14:textId="1EAD396B" w:rsidR="00837780" w:rsidRPr="00837780" w:rsidRDefault="00837780" w:rsidP="00B30BE4">
      <w:pPr>
        <w:spacing w:line="240" w:lineRule="auto"/>
        <w:rPr>
          <w:sz w:val="24"/>
          <w:szCs w:val="24"/>
        </w:rPr>
      </w:pPr>
      <w:r w:rsidRPr="00837780">
        <w:rPr>
          <w:sz w:val="24"/>
          <w:szCs w:val="24"/>
        </w:rPr>
        <w:t xml:space="preserve">Siga Brasil: </w:t>
      </w:r>
      <w:r w:rsidRPr="00837780">
        <w:rPr>
          <w:b/>
          <w:bCs/>
          <w:sz w:val="24"/>
          <w:szCs w:val="24"/>
        </w:rPr>
        <w:t>Portal do Orçamento</w:t>
      </w:r>
      <w:r w:rsidRPr="00837780">
        <w:rPr>
          <w:sz w:val="24"/>
          <w:szCs w:val="24"/>
        </w:rPr>
        <w:t>. Disponível em: &lt;https://www12.senado.leg.br/</w:t>
      </w:r>
      <w:proofErr w:type="spellStart"/>
      <w:r w:rsidRPr="00837780">
        <w:rPr>
          <w:sz w:val="24"/>
          <w:szCs w:val="24"/>
        </w:rPr>
        <w:t>orcamento</w:t>
      </w:r>
      <w:proofErr w:type="spellEnd"/>
      <w:r w:rsidRPr="00837780">
        <w:rPr>
          <w:sz w:val="24"/>
          <w:szCs w:val="24"/>
        </w:rPr>
        <w:t>/</w:t>
      </w:r>
      <w:proofErr w:type="spellStart"/>
      <w:r w:rsidRPr="00837780">
        <w:rPr>
          <w:sz w:val="24"/>
          <w:szCs w:val="24"/>
        </w:rPr>
        <w:t>sigabrasil</w:t>
      </w:r>
      <w:proofErr w:type="spellEnd"/>
      <w:r w:rsidRPr="00837780">
        <w:rPr>
          <w:sz w:val="24"/>
          <w:szCs w:val="24"/>
        </w:rPr>
        <w:t>&gt;.</w:t>
      </w:r>
    </w:p>
    <w:p w14:paraId="2A83D5C9" w14:textId="77777777" w:rsidR="00B30BE4" w:rsidRDefault="00B30BE4" w:rsidP="00B30BE4">
      <w:pPr>
        <w:spacing w:line="240" w:lineRule="auto"/>
        <w:rPr>
          <w:sz w:val="24"/>
          <w:szCs w:val="24"/>
        </w:rPr>
      </w:pPr>
    </w:p>
    <w:p w14:paraId="56405B19" w14:textId="77777777" w:rsidR="00153C9B" w:rsidRDefault="00491AB5" w:rsidP="00B30BE4">
      <w:pPr>
        <w:spacing w:line="240" w:lineRule="auto"/>
        <w:rPr>
          <w:sz w:val="24"/>
          <w:szCs w:val="24"/>
        </w:rPr>
      </w:pPr>
      <w:r w:rsidRPr="007F1A54">
        <w:rPr>
          <w:sz w:val="24"/>
          <w:szCs w:val="24"/>
        </w:rPr>
        <w:t>SMITH, A.</w:t>
      </w:r>
      <w:r w:rsidRPr="00F37024">
        <w:rPr>
          <w:b/>
          <w:bCs/>
          <w:sz w:val="24"/>
          <w:szCs w:val="24"/>
        </w:rPr>
        <w:t xml:space="preserve"> </w:t>
      </w:r>
      <w:r w:rsidRPr="007F1A54">
        <w:rPr>
          <w:b/>
          <w:bCs/>
          <w:sz w:val="24"/>
          <w:szCs w:val="24"/>
        </w:rPr>
        <w:t>A riqueza das nações: investigação sobre a natureza e suas causas.</w:t>
      </w:r>
      <w:r w:rsidRPr="00F37024">
        <w:rPr>
          <w:sz w:val="24"/>
          <w:szCs w:val="24"/>
        </w:rPr>
        <w:t xml:space="preserve"> 3. ed. São Paulo: Nova Cultural, 1988. v.1.</w:t>
      </w:r>
    </w:p>
    <w:p w14:paraId="01BE6934" w14:textId="77777777" w:rsidR="009C4B2F" w:rsidRDefault="009C4B2F" w:rsidP="00B30BE4">
      <w:pPr>
        <w:spacing w:line="240" w:lineRule="auto"/>
        <w:rPr>
          <w:sz w:val="24"/>
          <w:szCs w:val="24"/>
        </w:rPr>
      </w:pPr>
    </w:p>
    <w:p w14:paraId="3B7CA3FA" w14:textId="1D4A1757" w:rsidR="00244025" w:rsidRDefault="00837780" w:rsidP="00B30BE4">
      <w:pPr>
        <w:spacing w:line="240" w:lineRule="auto"/>
        <w:rPr>
          <w:sz w:val="24"/>
          <w:szCs w:val="24"/>
        </w:rPr>
      </w:pPr>
      <w:r w:rsidRPr="00837780">
        <w:rPr>
          <w:sz w:val="24"/>
          <w:szCs w:val="24"/>
        </w:rPr>
        <w:t xml:space="preserve">WEBER, Max. </w:t>
      </w:r>
      <w:r w:rsidRPr="00837780">
        <w:rPr>
          <w:b/>
          <w:bCs/>
          <w:sz w:val="24"/>
          <w:szCs w:val="24"/>
        </w:rPr>
        <w:t>Economia e sociedade</w:t>
      </w:r>
      <w:r w:rsidRPr="00837780">
        <w:rPr>
          <w:sz w:val="24"/>
          <w:szCs w:val="24"/>
        </w:rPr>
        <w:t xml:space="preserve">: fundamentos da sociologia compreensiva. Tradução de Regis Barbosa e Karen </w:t>
      </w:r>
      <w:proofErr w:type="spellStart"/>
      <w:r w:rsidRPr="00837780">
        <w:rPr>
          <w:sz w:val="24"/>
          <w:szCs w:val="24"/>
        </w:rPr>
        <w:t>Elsabe</w:t>
      </w:r>
      <w:proofErr w:type="spellEnd"/>
      <w:r w:rsidRPr="00837780">
        <w:rPr>
          <w:sz w:val="24"/>
          <w:szCs w:val="24"/>
        </w:rPr>
        <w:t xml:space="preserve"> Barbosa. Brasília, DF: Editora Universidade de Brasília; São Paulo: Imprensa Oficial do Estado de São Paulo, 1999.</w:t>
      </w:r>
    </w:p>
    <w:p w14:paraId="491E9FF9" w14:textId="77777777" w:rsidR="00244025" w:rsidRPr="0069413D" w:rsidRDefault="00244025" w:rsidP="00B30BE4">
      <w:pPr>
        <w:spacing w:line="240" w:lineRule="auto"/>
        <w:rPr>
          <w:sz w:val="24"/>
          <w:szCs w:val="24"/>
        </w:rPr>
      </w:pPr>
    </w:p>
    <w:sectPr w:rsidR="00244025" w:rsidRPr="0069413D" w:rsidSect="00087EF0">
      <w:headerReference w:type="even" r:id="rId13"/>
      <w:headerReference w:type="default" r:id="rId14"/>
      <w:footerReference w:type="even" r:id="rId15"/>
      <w:footerReference w:type="default" r:id="rId16"/>
      <w:headerReference w:type="first" r:id="rId17"/>
      <w:footerReference w:type="first" r:id="rId18"/>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90CC0" w14:textId="77777777" w:rsidR="00371F5E" w:rsidRDefault="00371F5E">
      <w:pPr>
        <w:spacing w:line="240" w:lineRule="auto"/>
      </w:pPr>
      <w:r>
        <w:separator/>
      </w:r>
    </w:p>
  </w:endnote>
  <w:endnote w:type="continuationSeparator" w:id="0">
    <w:p w14:paraId="5D782B5B" w14:textId="77777777" w:rsidR="00371F5E" w:rsidRDefault="00371F5E">
      <w:pPr>
        <w:spacing w:line="240" w:lineRule="auto"/>
      </w:pPr>
      <w:r>
        <w:continuationSeparator/>
      </w:r>
    </w:p>
  </w:endnote>
  <w:endnote w:type="continuationNotice" w:id="1">
    <w:p w14:paraId="132F4E24" w14:textId="77777777" w:rsidR="00371F5E" w:rsidRDefault="00371F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B748" w14:textId="77777777" w:rsidR="00087EF0" w:rsidRDefault="00087EF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0D3B" w14:textId="77777777" w:rsidR="00087EF0" w:rsidRDefault="00087EF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715C0" w14:textId="77777777" w:rsidR="00087EF0" w:rsidRDefault="00087EF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E694" w14:textId="77777777" w:rsidR="00371F5E" w:rsidRDefault="00371F5E">
      <w:pPr>
        <w:spacing w:line="240" w:lineRule="auto"/>
      </w:pPr>
      <w:r>
        <w:separator/>
      </w:r>
    </w:p>
  </w:footnote>
  <w:footnote w:type="continuationSeparator" w:id="0">
    <w:p w14:paraId="2FFD3517" w14:textId="77777777" w:rsidR="00371F5E" w:rsidRDefault="00371F5E">
      <w:pPr>
        <w:spacing w:line="240" w:lineRule="auto"/>
      </w:pPr>
      <w:r>
        <w:continuationSeparator/>
      </w:r>
    </w:p>
  </w:footnote>
  <w:footnote w:type="continuationNotice" w:id="1">
    <w:p w14:paraId="0348F393" w14:textId="77777777" w:rsidR="00371F5E" w:rsidRDefault="00371F5E">
      <w:pPr>
        <w:spacing w:line="240" w:lineRule="auto"/>
      </w:pPr>
    </w:p>
  </w:footnote>
  <w:footnote w:id="2">
    <w:p w14:paraId="6205D381" w14:textId="1FBB923F" w:rsidR="006E6A51" w:rsidRDefault="006E6A51">
      <w:pPr>
        <w:pStyle w:val="Textodenotaderodap"/>
      </w:pPr>
      <w:r>
        <w:rPr>
          <w:rStyle w:val="Refdenotaderodap"/>
        </w:rPr>
        <w:footnoteRef/>
      </w:r>
      <w:r>
        <w:t xml:space="preserve"> Universidade Federal do Delta do Parnaíba (</w:t>
      </w:r>
      <w:proofErr w:type="spellStart"/>
      <w:r>
        <w:t>UFDPar</w:t>
      </w:r>
      <w:proofErr w:type="spellEnd"/>
      <w:r>
        <w:t xml:space="preserve">); Graduando em Ciências Econômicas; </w:t>
      </w:r>
      <w:hyperlink r:id="rId1" w:history="1">
        <w:r w:rsidR="000A3879" w:rsidRPr="001D4780">
          <w:rPr>
            <w:rStyle w:val="Hyperlink"/>
          </w:rPr>
          <w:t>leviborges@ufdpar.edu.br</w:t>
        </w:r>
      </w:hyperlink>
      <w:r>
        <w:t>.</w:t>
      </w:r>
    </w:p>
    <w:p w14:paraId="02413B2C" w14:textId="77777777" w:rsidR="000A3879" w:rsidRDefault="000A3879">
      <w:pPr>
        <w:pStyle w:val="Textodenotaderodap"/>
      </w:pPr>
    </w:p>
  </w:footnote>
  <w:footnote w:id="3">
    <w:p w14:paraId="139BC10D" w14:textId="56244829" w:rsidR="006E6A51" w:rsidRDefault="006E6A51">
      <w:pPr>
        <w:pStyle w:val="Textodenotaderodap"/>
      </w:pPr>
      <w:r>
        <w:rPr>
          <w:rStyle w:val="Refdenotaderodap"/>
        </w:rPr>
        <w:footnoteRef/>
      </w:r>
      <w:r>
        <w:t xml:space="preserve"> </w:t>
      </w:r>
      <w:r>
        <w:t>Universidade Federal do Delta do Parnaíba (</w:t>
      </w:r>
      <w:proofErr w:type="spellStart"/>
      <w:r>
        <w:t>UFDPar</w:t>
      </w:r>
      <w:proofErr w:type="spellEnd"/>
      <w:r>
        <w:t>); Graduand</w:t>
      </w:r>
      <w:r>
        <w:t>a</w:t>
      </w:r>
      <w:r>
        <w:t xml:space="preserve"> em Ciências Econômicas;</w:t>
      </w:r>
    </w:p>
    <w:p w14:paraId="65201AB6" w14:textId="7DF9CBE9" w:rsidR="006E6A51" w:rsidRDefault="006E6A51">
      <w:pPr>
        <w:pStyle w:val="Textodenotaderodap"/>
      </w:pPr>
      <w:hyperlink r:id="rId2" w:history="1">
        <w:r w:rsidRPr="001D4780">
          <w:rPr>
            <w:rStyle w:val="Hyperlink"/>
          </w:rPr>
          <w:t>mariaemcoliveira@ufdpar.edu.br</w:t>
        </w:r>
      </w:hyperlink>
      <w:r>
        <w:t>.</w:t>
      </w:r>
    </w:p>
    <w:p w14:paraId="1C23FDDD" w14:textId="77777777" w:rsidR="006E6A51" w:rsidRDefault="006E6A51">
      <w:pPr>
        <w:pStyle w:val="Textodenotaderodap"/>
      </w:pPr>
    </w:p>
  </w:footnote>
  <w:footnote w:id="4">
    <w:p w14:paraId="5BFF070E" w14:textId="3D7F6684" w:rsidR="000A3879" w:rsidRDefault="000A3879">
      <w:pPr>
        <w:pStyle w:val="Textodenotaderodap"/>
      </w:pPr>
      <w:r>
        <w:rPr>
          <w:rStyle w:val="Refdenotaderodap"/>
        </w:rPr>
        <w:footnoteRef/>
      </w:r>
      <w:r>
        <w:t xml:space="preserve"> </w:t>
      </w:r>
      <w:r>
        <w:t>Universidade Federal do Delta do Parnaíba (</w:t>
      </w:r>
      <w:proofErr w:type="spellStart"/>
      <w:r>
        <w:t>UFDPar</w:t>
      </w:r>
      <w:proofErr w:type="spellEnd"/>
      <w:r>
        <w:t>);</w:t>
      </w:r>
      <w:r>
        <w:t xml:space="preserve"> Doutor em Políticas Públicas</w:t>
      </w:r>
      <w:r w:rsidR="003A16E1">
        <w:t>;</w:t>
      </w:r>
      <w:r>
        <w:t xml:space="preserve"> </w:t>
      </w:r>
      <w:hyperlink r:id="rId3" w:history="1">
        <w:r w:rsidRPr="001D4780">
          <w:rPr>
            <w:rStyle w:val="Hyperlink"/>
          </w:rPr>
          <w:t>jrosmar@ufdpar.edu.br</w:t>
        </w:r>
      </w:hyperlink>
      <w:r>
        <w:t>.</w:t>
      </w:r>
    </w:p>
    <w:p w14:paraId="411EE11F" w14:textId="77777777" w:rsidR="000A3879" w:rsidRDefault="000A3879">
      <w:pPr>
        <w:pStyle w:val="Textodenotaderodap"/>
      </w:pPr>
    </w:p>
  </w:footnote>
  <w:footnote w:id="5">
    <w:p w14:paraId="40802689" w14:textId="4F28D645" w:rsidR="000A3879" w:rsidRDefault="000A3879">
      <w:pPr>
        <w:pStyle w:val="Textodenotaderodap"/>
      </w:pPr>
      <w:r>
        <w:rPr>
          <w:rStyle w:val="Refdenotaderodap"/>
        </w:rPr>
        <w:footnoteRef/>
      </w:r>
      <w:r>
        <w:t xml:space="preserve"> </w:t>
      </w:r>
      <w:r>
        <w:t>Universidade Federal do Delta do Parnaíba (</w:t>
      </w:r>
      <w:proofErr w:type="spellStart"/>
      <w:r>
        <w:t>UFDPar</w:t>
      </w:r>
      <w:proofErr w:type="spellEnd"/>
      <w:r>
        <w:t>); Doutor em</w:t>
      </w:r>
      <w:r>
        <w:t xml:space="preserve"> Economia; </w:t>
      </w:r>
      <w:hyperlink r:id="rId4" w:history="1">
        <w:r w:rsidRPr="001D4780">
          <w:rPr>
            <w:rStyle w:val="Hyperlink"/>
          </w:rPr>
          <w:t>fabio.gama@ufdpar.edu.br</w:t>
        </w:r>
      </w:hyperlink>
      <w:r>
        <w:t>.</w:t>
      </w:r>
    </w:p>
    <w:p w14:paraId="657CDADF" w14:textId="77777777" w:rsidR="000A3879" w:rsidRDefault="000A3879">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7F8BE" w14:textId="77777777" w:rsidR="00087EF0" w:rsidRDefault="00087EF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757E" w14:textId="10606C60" w:rsidR="00D45D49" w:rsidRDefault="009A68B0">
    <w:r>
      <w:rPr>
        <w:noProof/>
      </w:rPr>
      <w:drawing>
        <wp:anchor distT="0" distB="0" distL="0" distR="0" simplePos="0" relativeHeight="251658240" behindDoc="1" locked="0" layoutInCell="1" hidden="0" allowOverlap="1" wp14:anchorId="40A352F8" wp14:editId="4A0E4DCF">
          <wp:simplePos x="0" y="0"/>
          <wp:positionH relativeFrom="page">
            <wp:posOffset>0</wp:posOffset>
          </wp:positionH>
          <wp:positionV relativeFrom="page">
            <wp:posOffset>-45720</wp:posOffset>
          </wp:positionV>
          <wp:extent cx="7563485" cy="10872470"/>
          <wp:effectExtent l="0" t="0" r="0" b="508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872470"/>
                  </a:xfrm>
                  <a:prstGeom prst="rect">
                    <a:avLst/>
                  </a:prstGeom>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19C0" w14:textId="77777777" w:rsidR="00087EF0" w:rsidRDefault="00087EF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31787"/>
    <w:multiLevelType w:val="hybridMultilevel"/>
    <w:tmpl w:val="D68EBFDA"/>
    <w:lvl w:ilvl="0" w:tplc="1A30F4CC">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64951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D49"/>
    <w:rsid w:val="0001399B"/>
    <w:rsid w:val="00015B88"/>
    <w:rsid w:val="00017C35"/>
    <w:rsid w:val="00020648"/>
    <w:rsid w:val="00037190"/>
    <w:rsid w:val="00042F0A"/>
    <w:rsid w:val="00047185"/>
    <w:rsid w:val="000628A5"/>
    <w:rsid w:val="00063801"/>
    <w:rsid w:val="00080110"/>
    <w:rsid w:val="00087EF0"/>
    <w:rsid w:val="000971AC"/>
    <w:rsid w:val="000A3879"/>
    <w:rsid w:val="000A3B38"/>
    <w:rsid w:val="000A72CB"/>
    <w:rsid w:val="000B4836"/>
    <w:rsid w:val="000B6BF3"/>
    <w:rsid w:val="000B6F1F"/>
    <w:rsid w:val="000D23CD"/>
    <w:rsid w:val="000E58C9"/>
    <w:rsid w:val="000F62AB"/>
    <w:rsid w:val="00105BEF"/>
    <w:rsid w:val="00105F9D"/>
    <w:rsid w:val="001153BD"/>
    <w:rsid w:val="00130CC4"/>
    <w:rsid w:val="00153C9B"/>
    <w:rsid w:val="001714C2"/>
    <w:rsid w:val="001853FC"/>
    <w:rsid w:val="00192A95"/>
    <w:rsid w:val="001A169B"/>
    <w:rsid w:val="00210BF0"/>
    <w:rsid w:val="00214235"/>
    <w:rsid w:val="002210E0"/>
    <w:rsid w:val="00244025"/>
    <w:rsid w:val="00255A7E"/>
    <w:rsid w:val="00263EF3"/>
    <w:rsid w:val="00271D7A"/>
    <w:rsid w:val="002738FE"/>
    <w:rsid w:val="00274265"/>
    <w:rsid w:val="00276F09"/>
    <w:rsid w:val="00290B97"/>
    <w:rsid w:val="00294414"/>
    <w:rsid w:val="002948FB"/>
    <w:rsid w:val="002B65D5"/>
    <w:rsid w:val="002D17ED"/>
    <w:rsid w:val="002E2F0C"/>
    <w:rsid w:val="002E47C8"/>
    <w:rsid w:val="002F1E95"/>
    <w:rsid w:val="002F2A06"/>
    <w:rsid w:val="002F6667"/>
    <w:rsid w:val="0036231C"/>
    <w:rsid w:val="00363FAC"/>
    <w:rsid w:val="00371F5E"/>
    <w:rsid w:val="0038175B"/>
    <w:rsid w:val="00390D5A"/>
    <w:rsid w:val="00391BC4"/>
    <w:rsid w:val="003A16E1"/>
    <w:rsid w:val="003A2363"/>
    <w:rsid w:val="003C4142"/>
    <w:rsid w:val="003D4A33"/>
    <w:rsid w:val="00412596"/>
    <w:rsid w:val="004819F6"/>
    <w:rsid w:val="00491AB5"/>
    <w:rsid w:val="004B3165"/>
    <w:rsid w:val="004D0C6E"/>
    <w:rsid w:val="004D249F"/>
    <w:rsid w:val="004D7D43"/>
    <w:rsid w:val="004E601D"/>
    <w:rsid w:val="00501D8E"/>
    <w:rsid w:val="00505055"/>
    <w:rsid w:val="0051761A"/>
    <w:rsid w:val="00521D33"/>
    <w:rsid w:val="00532611"/>
    <w:rsid w:val="005425B3"/>
    <w:rsid w:val="00545155"/>
    <w:rsid w:val="005521F5"/>
    <w:rsid w:val="00553575"/>
    <w:rsid w:val="0058566D"/>
    <w:rsid w:val="005B0641"/>
    <w:rsid w:val="005D3F62"/>
    <w:rsid w:val="005D4442"/>
    <w:rsid w:val="005E588F"/>
    <w:rsid w:val="00601405"/>
    <w:rsid w:val="0060503C"/>
    <w:rsid w:val="006225E1"/>
    <w:rsid w:val="00627699"/>
    <w:rsid w:val="00633420"/>
    <w:rsid w:val="00636FCC"/>
    <w:rsid w:val="006372A4"/>
    <w:rsid w:val="0067062F"/>
    <w:rsid w:val="00674DAC"/>
    <w:rsid w:val="00687194"/>
    <w:rsid w:val="00687E7B"/>
    <w:rsid w:val="0069413D"/>
    <w:rsid w:val="00697085"/>
    <w:rsid w:val="006A528C"/>
    <w:rsid w:val="006B556A"/>
    <w:rsid w:val="006C6861"/>
    <w:rsid w:val="006D1FFF"/>
    <w:rsid w:val="006D2138"/>
    <w:rsid w:val="006D26AC"/>
    <w:rsid w:val="006E6A51"/>
    <w:rsid w:val="006F43A5"/>
    <w:rsid w:val="007011B4"/>
    <w:rsid w:val="007041DE"/>
    <w:rsid w:val="0070503D"/>
    <w:rsid w:val="007242E4"/>
    <w:rsid w:val="00724A17"/>
    <w:rsid w:val="007332D1"/>
    <w:rsid w:val="00736649"/>
    <w:rsid w:val="0074402F"/>
    <w:rsid w:val="007938B7"/>
    <w:rsid w:val="007A4918"/>
    <w:rsid w:val="007A5276"/>
    <w:rsid w:val="007B2B52"/>
    <w:rsid w:val="007B4327"/>
    <w:rsid w:val="007E6540"/>
    <w:rsid w:val="007E670F"/>
    <w:rsid w:val="007F2F63"/>
    <w:rsid w:val="008261F2"/>
    <w:rsid w:val="00837780"/>
    <w:rsid w:val="0084683F"/>
    <w:rsid w:val="00852862"/>
    <w:rsid w:val="008832D0"/>
    <w:rsid w:val="00884F5F"/>
    <w:rsid w:val="00887DE6"/>
    <w:rsid w:val="0089177D"/>
    <w:rsid w:val="00893442"/>
    <w:rsid w:val="00897787"/>
    <w:rsid w:val="008B3267"/>
    <w:rsid w:val="008D712E"/>
    <w:rsid w:val="008E78E9"/>
    <w:rsid w:val="00904B38"/>
    <w:rsid w:val="00926C07"/>
    <w:rsid w:val="00936344"/>
    <w:rsid w:val="009424A6"/>
    <w:rsid w:val="009448E0"/>
    <w:rsid w:val="009507EC"/>
    <w:rsid w:val="009534D3"/>
    <w:rsid w:val="009771B8"/>
    <w:rsid w:val="00985A0A"/>
    <w:rsid w:val="009A4830"/>
    <w:rsid w:val="009A4E67"/>
    <w:rsid w:val="009A68B0"/>
    <w:rsid w:val="009B3DED"/>
    <w:rsid w:val="009B59A8"/>
    <w:rsid w:val="009C4B2F"/>
    <w:rsid w:val="009D141C"/>
    <w:rsid w:val="009D1FFD"/>
    <w:rsid w:val="00A0519A"/>
    <w:rsid w:val="00A07FD2"/>
    <w:rsid w:val="00A13F60"/>
    <w:rsid w:val="00A17D5E"/>
    <w:rsid w:val="00A24F10"/>
    <w:rsid w:val="00A4534E"/>
    <w:rsid w:val="00A61765"/>
    <w:rsid w:val="00A87F0B"/>
    <w:rsid w:val="00A97EA0"/>
    <w:rsid w:val="00AA0C09"/>
    <w:rsid w:val="00AC238C"/>
    <w:rsid w:val="00AD1402"/>
    <w:rsid w:val="00AE23CF"/>
    <w:rsid w:val="00AE7423"/>
    <w:rsid w:val="00B03E4E"/>
    <w:rsid w:val="00B05F04"/>
    <w:rsid w:val="00B20CD3"/>
    <w:rsid w:val="00B262CB"/>
    <w:rsid w:val="00B30357"/>
    <w:rsid w:val="00B30BE4"/>
    <w:rsid w:val="00B31256"/>
    <w:rsid w:val="00B47F1E"/>
    <w:rsid w:val="00B718F4"/>
    <w:rsid w:val="00B92E66"/>
    <w:rsid w:val="00B94CC0"/>
    <w:rsid w:val="00BA6415"/>
    <w:rsid w:val="00BD7D74"/>
    <w:rsid w:val="00BF5F3B"/>
    <w:rsid w:val="00BF66D6"/>
    <w:rsid w:val="00C11567"/>
    <w:rsid w:val="00C164F3"/>
    <w:rsid w:val="00C2015A"/>
    <w:rsid w:val="00C27AF0"/>
    <w:rsid w:val="00C36A00"/>
    <w:rsid w:val="00C421F6"/>
    <w:rsid w:val="00C649D9"/>
    <w:rsid w:val="00C714FA"/>
    <w:rsid w:val="00C76274"/>
    <w:rsid w:val="00C82822"/>
    <w:rsid w:val="00C938D4"/>
    <w:rsid w:val="00CE6736"/>
    <w:rsid w:val="00CF7C9D"/>
    <w:rsid w:val="00D11657"/>
    <w:rsid w:val="00D35022"/>
    <w:rsid w:val="00D45D49"/>
    <w:rsid w:val="00D53CC6"/>
    <w:rsid w:val="00D57E15"/>
    <w:rsid w:val="00D630DC"/>
    <w:rsid w:val="00D64190"/>
    <w:rsid w:val="00D85578"/>
    <w:rsid w:val="00D904C5"/>
    <w:rsid w:val="00D97D30"/>
    <w:rsid w:val="00DB7FDC"/>
    <w:rsid w:val="00DC72FF"/>
    <w:rsid w:val="00DD1FB0"/>
    <w:rsid w:val="00DD5BAD"/>
    <w:rsid w:val="00DD6D8D"/>
    <w:rsid w:val="00DE42DC"/>
    <w:rsid w:val="00DE75BC"/>
    <w:rsid w:val="00E04AA4"/>
    <w:rsid w:val="00E13C5C"/>
    <w:rsid w:val="00E145C3"/>
    <w:rsid w:val="00E375C4"/>
    <w:rsid w:val="00E554B9"/>
    <w:rsid w:val="00E67687"/>
    <w:rsid w:val="00E71827"/>
    <w:rsid w:val="00E73835"/>
    <w:rsid w:val="00E82001"/>
    <w:rsid w:val="00E824DC"/>
    <w:rsid w:val="00EA369C"/>
    <w:rsid w:val="00EB138E"/>
    <w:rsid w:val="00ED1ED0"/>
    <w:rsid w:val="00ED2380"/>
    <w:rsid w:val="00EF6CA8"/>
    <w:rsid w:val="00F04D65"/>
    <w:rsid w:val="00F05C00"/>
    <w:rsid w:val="00F11F80"/>
    <w:rsid w:val="00F14844"/>
    <w:rsid w:val="00F21076"/>
    <w:rsid w:val="00F67BED"/>
    <w:rsid w:val="00F74DF8"/>
    <w:rsid w:val="00F87646"/>
    <w:rsid w:val="00FA2E1F"/>
    <w:rsid w:val="00FA732B"/>
    <w:rsid w:val="24CFB323"/>
    <w:rsid w:val="3D490100"/>
    <w:rsid w:val="46468CE7"/>
    <w:rsid w:val="479F8C70"/>
    <w:rsid w:val="4F942F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5B1C0"/>
  <w15:docId w15:val="{2C575AE7-91F3-4B8C-9432-051D0B71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8E78E9"/>
    <w:pPr>
      <w:tabs>
        <w:tab w:val="center" w:pos="4252"/>
        <w:tab w:val="right" w:pos="8504"/>
      </w:tabs>
      <w:spacing w:line="240" w:lineRule="auto"/>
    </w:pPr>
  </w:style>
  <w:style w:type="character" w:customStyle="1" w:styleId="CabealhoChar">
    <w:name w:val="Cabeçalho Char"/>
    <w:basedOn w:val="Fontepargpadro"/>
    <w:link w:val="Cabealho"/>
    <w:uiPriority w:val="99"/>
    <w:rsid w:val="008E78E9"/>
  </w:style>
  <w:style w:type="paragraph" w:styleId="Rodap">
    <w:name w:val="footer"/>
    <w:basedOn w:val="Normal"/>
    <w:link w:val="RodapChar"/>
    <w:uiPriority w:val="99"/>
    <w:unhideWhenUsed/>
    <w:rsid w:val="008E78E9"/>
    <w:pPr>
      <w:tabs>
        <w:tab w:val="center" w:pos="4252"/>
        <w:tab w:val="right" w:pos="8504"/>
      </w:tabs>
      <w:spacing w:line="240" w:lineRule="auto"/>
    </w:pPr>
  </w:style>
  <w:style w:type="character" w:customStyle="1" w:styleId="RodapChar">
    <w:name w:val="Rodapé Char"/>
    <w:basedOn w:val="Fontepargpadro"/>
    <w:link w:val="Rodap"/>
    <w:uiPriority w:val="99"/>
    <w:rsid w:val="008E78E9"/>
  </w:style>
  <w:style w:type="character" w:styleId="Refdecomentrio">
    <w:name w:val="annotation reference"/>
    <w:basedOn w:val="Fontepargpadro"/>
    <w:uiPriority w:val="99"/>
    <w:semiHidden/>
    <w:unhideWhenUsed/>
    <w:rsid w:val="00C164F3"/>
    <w:rPr>
      <w:sz w:val="16"/>
      <w:szCs w:val="16"/>
    </w:rPr>
  </w:style>
  <w:style w:type="paragraph" w:styleId="Textodecomentrio">
    <w:name w:val="annotation text"/>
    <w:basedOn w:val="Normal"/>
    <w:link w:val="TextodecomentrioChar"/>
    <w:uiPriority w:val="99"/>
    <w:unhideWhenUsed/>
    <w:rsid w:val="00C164F3"/>
    <w:pPr>
      <w:spacing w:line="240" w:lineRule="auto"/>
    </w:pPr>
    <w:rPr>
      <w:sz w:val="20"/>
      <w:szCs w:val="20"/>
    </w:rPr>
  </w:style>
  <w:style w:type="character" w:customStyle="1" w:styleId="TextodecomentrioChar">
    <w:name w:val="Texto de comentário Char"/>
    <w:basedOn w:val="Fontepargpadro"/>
    <w:link w:val="Textodecomentrio"/>
    <w:uiPriority w:val="99"/>
    <w:rsid w:val="00C164F3"/>
    <w:rPr>
      <w:sz w:val="20"/>
      <w:szCs w:val="20"/>
    </w:rPr>
  </w:style>
  <w:style w:type="paragraph" w:styleId="Assuntodocomentrio">
    <w:name w:val="annotation subject"/>
    <w:basedOn w:val="Textodecomentrio"/>
    <w:next w:val="Textodecomentrio"/>
    <w:link w:val="AssuntodocomentrioChar"/>
    <w:uiPriority w:val="99"/>
    <w:semiHidden/>
    <w:unhideWhenUsed/>
    <w:rsid w:val="00C164F3"/>
    <w:rPr>
      <w:b/>
      <w:bCs/>
    </w:rPr>
  </w:style>
  <w:style w:type="character" w:customStyle="1" w:styleId="AssuntodocomentrioChar">
    <w:name w:val="Assunto do comentário Char"/>
    <w:basedOn w:val="TextodecomentrioChar"/>
    <w:link w:val="Assuntodocomentrio"/>
    <w:uiPriority w:val="99"/>
    <w:semiHidden/>
    <w:rsid w:val="00C164F3"/>
    <w:rPr>
      <w:b/>
      <w:bCs/>
      <w:sz w:val="20"/>
      <w:szCs w:val="20"/>
    </w:rPr>
  </w:style>
  <w:style w:type="paragraph" w:styleId="PargrafodaLista">
    <w:name w:val="List Paragraph"/>
    <w:basedOn w:val="Normal"/>
    <w:uiPriority w:val="34"/>
    <w:qFormat/>
    <w:rsid w:val="00B03E4E"/>
    <w:pPr>
      <w:ind w:left="720"/>
      <w:contextualSpacing/>
    </w:pPr>
  </w:style>
  <w:style w:type="paragraph" w:styleId="Reviso">
    <w:name w:val="Revision"/>
    <w:hidden/>
    <w:uiPriority w:val="99"/>
    <w:semiHidden/>
    <w:rsid w:val="00B05F04"/>
    <w:pPr>
      <w:spacing w:line="240" w:lineRule="auto"/>
    </w:pPr>
  </w:style>
  <w:style w:type="paragraph" w:styleId="Textodenotaderodap">
    <w:name w:val="footnote text"/>
    <w:basedOn w:val="Normal"/>
    <w:link w:val="TextodenotaderodapChar"/>
    <w:uiPriority w:val="99"/>
    <w:semiHidden/>
    <w:unhideWhenUsed/>
    <w:rsid w:val="006E6A5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6E6A51"/>
    <w:rPr>
      <w:sz w:val="20"/>
      <w:szCs w:val="20"/>
    </w:rPr>
  </w:style>
  <w:style w:type="character" w:styleId="Refdenotaderodap">
    <w:name w:val="footnote reference"/>
    <w:basedOn w:val="Fontepargpadro"/>
    <w:uiPriority w:val="99"/>
    <w:semiHidden/>
    <w:unhideWhenUsed/>
    <w:rsid w:val="006E6A51"/>
    <w:rPr>
      <w:vertAlign w:val="superscript"/>
    </w:rPr>
  </w:style>
  <w:style w:type="character" w:styleId="Hyperlink">
    <w:name w:val="Hyperlink"/>
    <w:basedOn w:val="Fontepargpadro"/>
    <w:uiPriority w:val="99"/>
    <w:unhideWhenUsed/>
    <w:rsid w:val="006E6A51"/>
    <w:rPr>
      <w:color w:val="0000FF" w:themeColor="hyperlink"/>
      <w:u w:val="single"/>
    </w:rPr>
  </w:style>
  <w:style w:type="character" w:styleId="MenoPendente">
    <w:name w:val="Unresolved Mention"/>
    <w:basedOn w:val="Fontepargpadro"/>
    <w:uiPriority w:val="99"/>
    <w:semiHidden/>
    <w:unhideWhenUsed/>
    <w:rsid w:val="006E6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2838">
      <w:bodyDiv w:val="1"/>
      <w:marLeft w:val="0"/>
      <w:marRight w:val="0"/>
      <w:marTop w:val="0"/>
      <w:marBottom w:val="0"/>
      <w:divBdr>
        <w:top w:val="none" w:sz="0" w:space="0" w:color="auto"/>
        <w:left w:val="none" w:sz="0" w:space="0" w:color="auto"/>
        <w:bottom w:val="none" w:sz="0" w:space="0" w:color="auto"/>
        <w:right w:val="none" w:sz="0" w:space="0" w:color="auto"/>
      </w:divBdr>
    </w:div>
    <w:div w:id="101073591">
      <w:bodyDiv w:val="1"/>
      <w:marLeft w:val="0"/>
      <w:marRight w:val="0"/>
      <w:marTop w:val="0"/>
      <w:marBottom w:val="0"/>
      <w:divBdr>
        <w:top w:val="none" w:sz="0" w:space="0" w:color="auto"/>
        <w:left w:val="none" w:sz="0" w:space="0" w:color="auto"/>
        <w:bottom w:val="none" w:sz="0" w:space="0" w:color="auto"/>
        <w:right w:val="none" w:sz="0" w:space="0" w:color="auto"/>
      </w:divBdr>
      <w:divsChild>
        <w:div w:id="686054703">
          <w:marLeft w:val="0"/>
          <w:marRight w:val="0"/>
          <w:marTop w:val="0"/>
          <w:marBottom w:val="0"/>
          <w:divBdr>
            <w:top w:val="none" w:sz="0" w:space="0" w:color="auto"/>
            <w:left w:val="none" w:sz="0" w:space="0" w:color="auto"/>
            <w:bottom w:val="none" w:sz="0" w:space="0" w:color="auto"/>
            <w:right w:val="none" w:sz="0" w:space="0" w:color="auto"/>
          </w:divBdr>
          <w:divsChild>
            <w:div w:id="1857697767">
              <w:marLeft w:val="0"/>
              <w:marRight w:val="0"/>
              <w:marTop w:val="0"/>
              <w:marBottom w:val="0"/>
              <w:divBdr>
                <w:top w:val="none" w:sz="0" w:space="0" w:color="auto"/>
                <w:left w:val="none" w:sz="0" w:space="0" w:color="auto"/>
                <w:bottom w:val="none" w:sz="0" w:space="0" w:color="auto"/>
                <w:right w:val="none" w:sz="0" w:space="0" w:color="auto"/>
              </w:divBdr>
              <w:divsChild>
                <w:div w:id="492793059">
                  <w:marLeft w:val="0"/>
                  <w:marRight w:val="0"/>
                  <w:marTop w:val="0"/>
                  <w:marBottom w:val="0"/>
                  <w:divBdr>
                    <w:top w:val="none" w:sz="0" w:space="0" w:color="auto"/>
                    <w:left w:val="none" w:sz="0" w:space="0" w:color="auto"/>
                    <w:bottom w:val="none" w:sz="0" w:space="0" w:color="auto"/>
                    <w:right w:val="none" w:sz="0" w:space="0" w:color="auto"/>
                  </w:divBdr>
                  <w:divsChild>
                    <w:div w:id="997928921">
                      <w:marLeft w:val="0"/>
                      <w:marRight w:val="0"/>
                      <w:marTop w:val="0"/>
                      <w:marBottom w:val="0"/>
                      <w:divBdr>
                        <w:top w:val="none" w:sz="0" w:space="0" w:color="auto"/>
                        <w:left w:val="none" w:sz="0" w:space="0" w:color="auto"/>
                        <w:bottom w:val="none" w:sz="0" w:space="0" w:color="auto"/>
                        <w:right w:val="none" w:sz="0" w:space="0" w:color="auto"/>
                      </w:divBdr>
                      <w:divsChild>
                        <w:div w:id="941452280">
                          <w:marLeft w:val="0"/>
                          <w:marRight w:val="0"/>
                          <w:marTop w:val="0"/>
                          <w:marBottom w:val="0"/>
                          <w:divBdr>
                            <w:top w:val="none" w:sz="0" w:space="0" w:color="auto"/>
                            <w:left w:val="none" w:sz="0" w:space="0" w:color="auto"/>
                            <w:bottom w:val="none" w:sz="0" w:space="0" w:color="auto"/>
                            <w:right w:val="none" w:sz="0" w:space="0" w:color="auto"/>
                          </w:divBdr>
                          <w:divsChild>
                            <w:div w:id="1168398901">
                              <w:marLeft w:val="0"/>
                              <w:marRight w:val="0"/>
                              <w:marTop w:val="0"/>
                              <w:marBottom w:val="0"/>
                              <w:divBdr>
                                <w:top w:val="none" w:sz="0" w:space="0" w:color="auto"/>
                                <w:left w:val="none" w:sz="0" w:space="0" w:color="auto"/>
                                <w:bottom w:val="none" w:sz="0" w:space="0" w:color="auto"/>
                                <w:right w:val="none" w:sz="0" w:space="0" w:color="auto"/>
                              </w:divBdr>
                              <w:divsChild>
                                <w:div w:id="457573698">
                                  <w:marLeft w:val="0"/>
                                  <w:marRight w:val="0"/>
                                  <w:marTop w:val="0"/>
                                  <w:marBottom w:val="0"/>
                                  <w:divBdr>
                                    <w:top w:val="none" w:sz="0" w:space="0" w:color="auto"/>
                                    <w:left w:val="none" w:sz="0" w:space="0" w:color="auto"/>
                                    <w:bottom w:val="none" w:sz="0" w:space="0" w:color="auto"/>
                                    <w:right w:val="none" w:sz="0" w:space="0" w:color="auto"/>
                                  </w:divBdr>
                                  <w:divsChild>
                                    <w:div w:id="11789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59325">
                      <w:marLeft w:val="0"/>
                      <w:marRight w:val="0"/>
                      <w:marTop w:val="0"/>
                      <w:marBottom w:val="0"/>
                      <w:divBdr>
                        <w:top w:val="none" w:sz="0" w:space="0" w:color="auto"/>
                        <w:left w:val="none" w:sz="0" w:space="0" w:color="auto"/>
                        <w:bottom w:val="none" w:sz="0" w:space="0" w:color="auto"/>
                        <w:right w:val="none" w:sz="0" w:space="0" w:color="auto"/>
                      </w:divBdr>
                      <w:divsChild>
                        <w:div w:id="5560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74704">
      <w:bodyDiv w:val="1"/>
      <w:marLeft w:val="0"/>
      <w:marRight w:val="0"/>
      <w:marTop w:val="0"/>
      <w:marBottom w:val="0"/>
      <w:divBdr>
        <w:top w:val="none" w:sz="0" w:space="0" w:color="auto"/>
        <w:left w:val="none" w:sz="0" w:space="0" w:color="auto"/>
        <w:bottom w:val="none" w:sz="0" w:space="0" w:color="auto"/>
        <w:right w:val="none" w:sz="0" w:space="0" w:color="auto"/>
      </w:divBdr>
    </w:div>
    <w:div w:id="124280896">
      <w:bodyDiv w:val="1"/>
      <w:marLeft w:val="0"/>
      <w:marRight w:val="0"/>
      <w:marTop w:val="0"/>
      <w:marBottom w:val="0"/>
      <w:divBdr>
        <w:top w:val="none" w:sz="0" w:space="0" w:color="auto"/>
        <w:left w:val="none" w:sz="0" w:space="0" w:color="auto"/>
        <w:bottom w:val="none" w:sz="0" w:space="0" w:color="auto"/>
        <w:right w:val="none" w:sz="0" w:space="0" w:color="auto"/>
      </w:divBdr>
    </w:div>
    <w:div w:id="134684193">
      <w:bodyDiv w:val="1"/>
      <w:marLeft w:val="0"/>
      <w:marRight w:val="0"/>
      <w:marTop w:val="0"/>
      <w:marBottom w:val="0"/>
      <w:divBdr>
        <w:top w:val="none" w:sz="0" w:space="0" w:color="auto"/>
        <w:left w:val="none" w:sz="0" w:space="0" w:color="auto"/>
        <w:bottom w:val="none" w:sz="0" w:space="0" w:color="auto"/>
        <w:right w:val="none" w:sz="0" w:space="0" w:color="auto"/>
      </w:divBdr>
    </w:div>
    <w:div w:id="198785652">
      <w:bodyDiv w:val="1"/>
      <w:marLeft w:val="0"/>
      <w:marRight w:val="0"/>
      <w:marTop w:val="0"/>
      <w:marBottom w:val="0"/>
      <w:divBdr>
        <w:top w:val="none" w:sz="0" w:space="0" w:color="auto"/>
        <w:left w:val="none" w:sz="0" w:space="0" w:color="auto"/>
        <w:bottom w:val="none" w:sz="0" w:space="0" w:color="auto"/>
        <w:right w:val="none" w:sz="0" w:space="0" w:color="auto"/>
      </w:divBdr>
    </w:div>
    <w:div w:id="253982060">
      <w:bodyDiv w:val="1"/>
      <w:marLeft w:val="0"/>
      <w:marRight w:val="0"/>
      <w:marTop w:val="0"/>
      <w:marBottom w:val="0"/>
      <w:divBdr>
        <w:top w:val="none" w:sz="0" w:space="0" w:color="auto"/>
        <w:left w:val="none" w:sz="0" w:space="0" w:color="auto"/>
        <w:bottom w:val="none" w:sz="0" w:space="0" w:color="auto"/>
        <w:right w:val="none" w:sz="0" w:space="0" w:color="auto"/>
      </w:divBdr>
    </w:div>
    <w:div w:id="337121511">
      <w:bodyDiv w:val="1"/>
      <w:marLeft w:val="0"/>
      <w:marRight w:val="0"/>
      <w:marTop w:val="0"/>
      <w:marBottom w:val="0"/>
      <w:divBdr>
        <w:top w:val="none" w:sz="0" w:space="0" w:color="auto"/>
        <w:left w:val="none" w:sz="0" w:space="0" w:color="auto"/>
        <w:bottom w:val="none" w:sz="0" w:space="0" w:color="auto"/>
        <w:right w:val="none" w:sz="0" w:space="0" w:color="auto"/>
      </w:divBdr>
    </w:div>
    <w:div w:id="347408059">
      <w:bodyDiv w:val="1"/>
      <w:marLeft w:val="0"/>
      <w:marRight w:val="0"/>
      <w:marTop w:val="0"/>
      <w:marBottom w:val="0"/>
      <w:divBdr>
        <w:top w:val="none" w:sz="0" w:space="0" w:color="auto"/>
        <w:left w:val="none" w:sz="0" w:space="0" w:color="auto"/>
        <w:bottom w:val="none" w:sz="0" w:space="0" w:color="auto"/>
        <w:right w:val="none" w:sz="0" w:space="0" w:color="auto"/>
      </w:divBdr>
    </w:div>
    <w:div w:id="398989160">
      <w:bodyDiv w:val="1"/>
      <w:marLeft w:val="0"/>
      <w:marRight w:val="0"/>
      <w:marTop w:val="0"/>
      <w:marBottom w:val="0"/>
      <w:divBdr>
        <w:top w:val="none" w:sz="0" w:space="0" w:color="auto"/>
        <w:left w:val="none" w:sz="0" w:space="0" w:color="auto"/>
        <w:bottom w:val="none" w:sz="0" w:space="0" w:color="auto"/>
        <w:right w:val="none" w:sz="0" w:space="0" w:color="auto"/>
      </w:divBdr>
    </w:div>
    <w:div w:id="408774287">
      <w:bodyDiv w:val="1"/>
      <w:marLeft w:val="0"/>
      <w:marRight w:val="0"/>
      <w:marTop w:val="0"/>
      <w:marBottom w:val="0"/>
      <w:divBdr>
        <w:top w:val="none" w:sz="0" w:space="0" w:color="auto"/>
        <w:left w:val="none" w:sz="0" w:space="0" w:color="auto"/>
        <w:bottom w:val="none" w:sz="0" w:space="0" w:color="auto"/>
        <w:right w:val="none" w:sz="0" w:space="0" w:color="auto"/>
      </w:divBdr>
    </w:div>
    <w:div w:id="463696162">
      <w:bodyDiv w:val="1"/>
      <w:marLeft w:val="0"/>
      <w:marRight w:val="0"/>
      <w:marTop w:val="0"/>
      <w:marBottom w:val="0"/>
      <w:divBdr>
        <w:top w:val="none" w:sz="0" w:space="0" w:color="auto"/>
        <w:left w:val="none" w:sz="0" w:space="0" w:color="auto"/>
        <w:bottom w:val="none" w:sz="0" w:space="0" w:color="auto"/>
        <w:right w:val="none" w:sz="0" w:space="0" w:color="auto"/>
      </w:divBdr>
    </w:div>
    <w:div w:id="488718923">
      <w:bodyDiv w:val="1"/>
      <w:marLeft w:val="0"/>
      <w:marRight w:val="0"/>
      <w:marTop w:val="0"/>
      <w:marBottom w:val="0"/>
      <w:divBdr>
        <w:top w:val="none" w:sz="0" w:space="0" w:color="auto"/>
        <w:left w:val="none" w:sz="0" w:space="0" w:color="auto"/>
        <w:bottom w:val="none" w:sz="0" w:space="0" w:color="auto"/>
        <w:right w:val="none" w:sz="0" w:space="0" w:color="auto"/>
      </w:divBdr>
      <w:divsChild>
        <w:div w:id="78599715">
          <w:marLeft w:val="0"/>
          <w:marRight w:val="0"/>
          <w:marTop w:val="0"/>
          <w:marBottom w:val="0"/>
          <w:divBdr>
            <w:top w:val="none" w:sz="0" w:space="0" w:color="auto"/>
            <w:left w:val="none" w:sz="0" w:space="0" w:color="auto"/>
            <w:bottom w:val="none" w:sz="0" w:space="0" w:color="auto"/>
            <w:right w:val="none" w:sz="0" w:space="0" w:color="auto"/>
          </w:divBdr>
          <w:divsChild>
            <w:div w:id="212546527">
              <w:marLeft w:val="0"/>
              <w:marRight w:val="0"/>
              <w:marTop w:val="0"/>
              <w:marBottom w:val="0"/>
              <w:divBdr>
                <w:top w:val="none" w:sz="0" w:space="0" w:color="auto"/>
                <w:left w:val="none" w:sz="0" w:space="0" w:color="auto"/>
                <w:bottom w:val="none" w:sz="0" w:space="0" w:color="auto"/>
                <w:right w:val="none" w:sz="0" w:space="0" w:color="auto"/>
              </w:divBdr>
              <w:divsChild>
                <w:div w:id="139924365">
                  <w:marLeft w:val="0"/>
                  <w:marRight w:val="0"/>
                  <w:marTop w:val="0"/>
                  <w:marBottom w:val="0"/>
                  <w:divBdr>
                    <w:top w:val="none" w:sz="0" w:space="0" w:color="auto"/>
                    <w:left w:val="none" w:sz="0" w:space="0" w:color="auto"/>
                    <w:bottom w:val="none" w:sz="0" w:space="0" w:color="auto"/>
                    <w:right w:val="none" w:sz="0" w:space="0" w:color="auto"/>
                  </w:divBdr>
                  <w:divsChild>
                    <w:div w:id="214006522">
                      <w:marLeft w:val="0"/>
                      <w:marRight w:val="0"/>
                      <w:marTop w:val="0"/>
                      <w:marBottom w:val="0"/>
                      <w:divBdr>
                        <w:top w:val="none" w:sz="0" w:space="0" w:color="auto"/>
                        <w:left w:val="none" w:sz="0" w:space="0" w:color="auto"/>
                        <w:bottom w:val="none" w:sz="0" w:space="0" w:color="auto"/>
                        <w:right w:val="none" w:sz="0" w:space="0" w:color="auto"/>
                      </w:divBdr>
                      <w:divsChild>
                        <w:div w:id="91366923">
                          <w:marLeft w:val="0"/>
                          <w:marRight w:val="0"/>
                          <w:marTop w:val="0"/>
                          <w:marBottom w:val="0"/>
                          <w:divBdr>
                            <w:top w:val="none" w:sz="0" w:space="0" w:color="auto"/>
                            <w:left w:val="none" w:sz="0" w:space="0" w:color="auto"/>
                            <w:bottom w:val="none" w:sz="0" w:space="0" w:color="auto"/>
                            <w:right w:val="none" w:sz="0" w:space="0" w:color="auto"/>
                          </w:divBdr>
                          <w:divsChild>
                            <w:div w:id="1850096034">
                              <w:marLeft w:val="0"/>
                              <w:marRight w:val="0"/>
                              <w:marTop w:val="0"/>
                              <w:marBottom w:val="0"/>
                              <w:divBdr>
                                <w:top w:val="none" w:sz="0" w:space="0" w:color="auto"/>
                                <w:left w:val="none" w:sz="0" w:space="0" w:color="auto"/>
                                <w:bottom w:val="none" w:sz="0" w:space="0" w:color="auto"/>
                                <w:right w:val="none" w:sz="0" w:space="0" w:color="auto"/>
                              </w:divBdr>
                              <w:divsChild>
                                <w:div w:id="2140027757">
                                  <w:marLeft w:val="0"/>
                                  <w:marRight w:val="0"/>
                                  <w:marTop w:val="0"/>
                                  <w:marBottom w:val="0"/>
                                  <w:divBdr>
                                    <w:top w:val="none" w:sz="0" w:space="0" w:color="auto"/>
                                    <w:left w:val="none" w:sz="0" w:space="0" w:color="auto"/>
                                    <w:bottom w:val="none" w:sz="0" w:space="0" w:color="auto"/>
                                    <w:right w:val="none" w:sz="0" w:space="0" w:color="auto"/>
                                  </w:divBdr>
                                  <w:divsChild>
                                    <w:div w:id="16450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196691">
          <w:marLeft w:val="0"/>
          <w:marRight w:val="0"/>
          <w:marTop w:val="0"/>
          <w:marBottom w:val="0"/>
          <w:divBdr>
            <w:top w:val="none" w:sz="0" w:space="0" w:color="auto"/>
            <w:left w:val="none" w:sz="0" w:space="0" w:color="auto"/>
            <w:bottom w:val="none" w:sz="0" w:space="0" w:color="auto"/>
            <w:right w:val="none" w:sz="0" w:space="0" w:color="auto"/>
          </w:divBdr>
          <w:divsChild>
            <w:div w:id="701173807">
              <w:marLeft w:val="0"/>
              <w:marRight w:val="0"/>
              <w:marTop w:val="0"/>
              <w:marBottom w:val="0"/>
              <w:divBdr>
                <w:top w:val="none" w:sz="0" w:space="0" w:color="auto"/>
                <w:left w:val="none" w:sz="0" w:space="0" w:color="auto"/>
                <w:bottom w:val="none" w:sz="0" w:space="0" w:color="auto"/>
                <w:right w:val="none" w:sz="0" w:space="0" w:color="auto"/>
              </w:divBdr>
              <w:divsChild>
                <w:div w:id="205266517">
                  <w:marLeft w:val="0"/>
                  <w:marRight w:val="0"/>
                  <w:marTop w:val="0"/>
                  <w:marBottom w:val="0"/>
                  <w:divBdr>
                    <w:top w:val="none" w:sz="0" w:space="0" w:color="auto"/>
                    <w:left w:val="none" w:sz="0" w:space="0" w:color="auto"/>
                    <w:bottom w:val="none" w:sz="0" w:space="0" w:color="auto"/>
                    <w:right w:val="none" w:sz="0" w:space="0" w:color="auto"/>
                  </w:divBdr>
                  <w:divsChild>
                    <w:div w:id="29880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9448">
              <w:marLeft w:val="-240"/>
              <w:marRight w:val="0"/>
              <w:marTop w:val="0"/>
              <w:marBottom w:val="0"/>
              <w:divBdr>
                <w:top w:val="none" w:sz="0" w:space="0" w:color="auto"/>
                <w:left w:val="none" w:sz="0" w:space="0" w:color="auto"/>
                <w:bottom w:val="none" w:sz="0" w:space="0" w:color="auto"/>
                <w:right w:val="none" w:sz="0" w:space="0" w:color="auto"/>
              </w:divBdr>
              <w:divsChild>
                <w:div w:id="304089917">
                  <w:marLeft w:val="0"/>
                  <w:marRight w:val="0"/>
                  <w:marTop w:val="0"/>
                  <w:marBottom w:val="0"/>
                  <w:divBdr>
                    <w:top w:val="none" w:sz="0" w:space="0" w:color="auto"/>
                    <w:left w:val="none" w:sz="0" w:space="0" w:color="auto"/>
                    <w:bottom w:val="none" w:sz="0" w:space="0" w:color="auto"/>
                    <w:right w:val="none" w:sz="0" w:space="0" w:color="auto"/>
                  </w:divBdr>
                </w:div>
                <w:div w:id="1601137135">
                  <w:marLeft w:val="0"/>
                  <w:marRight w:val="0"/>
                  <w:marTop w:val="0"/>
                  <w:marBottom w:val="0"/>
                  <w:divBdr>
                    <w:top w:val="none" w:sz="0" w:space="0" w:color="auto"/>
                    <w:left w:val="none" w:sz="0" w:space="0" w:color="auto"/>
                    <w:bottom w:val="none" w:sz="0" w:space="0" w:color="auto"/>
                    <w:right w:val="none" w:sz="0" w:space="0" w:color="auto"/>
                  </w:divBdr>
                  <w:divsChild>
                    <w:div w:id="59602024">
                      <w:marLeft w:val="0"/>
                      <w:marRight w:val="0"/>
                      <w:marTop w:val="0"/>
                      <w:marBottom w:val="0"/>
                      <w:divBdr>
                        <w:top w:val="none" w:sz="0" w:space="0" w:color="auto"/>
                        <w:left w:val="none" w:sz="0" w:space="0" w:color="auto"/>
                        <w:bottom w:val="none" w:sz="0" w:space="0" w:color="auto"/>
                        <w:right w:val="none" w:sz="0" w:space="0" w:color="auto"/>
                      </w:divBdr>
                    </w:div>
                  </w:divsChild>
                </w:div>
                <w:div w:id="17286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79365">
      <w:bodyDiv w:val="1"/>
      <w:marLeft w:val="0"/>
      <w:marRight w:val="0"/>
      <w:marTop w:val="0"/>
      <w:marBottom w:val="0"/>
      <w:divBdr>
        <w:top w:val="none" w:sz="0" w:space="0" w:color="auto"/>
        <w:left w:val="none" w:sz="0" w:space="0" w:color="auto"/>
        <w:bottom w:val="none" w:sz="0" w:space="0" w:color="auto"/>
        <w:right w:val="none" w:sz="0" w:space="0" w:color="auto"/>
      </w:divBdr>
    </w:div>
    <w:div w:id="532772907">
      <w:bodyDiv w:val="1"/>
      <w:marLeft w:val="0"/>
      <w:marRight w:val="0"/>
      <w:marTop w:val="0"/>
      <w:marBottom w:val="0"/>
      <w:divBdr>
        <w:top w:val="none" w:sz="0" w:space="0" w:color="auto"/>
        <w:left w:val="none" w:sz="0" w:space="0" w:color="auto"/>
        <w:bottom w:val="none" w:sz="0" w:space="0" w:color="auto"/>
        <w:right w:val="none" w:sz="0" w:space="0" w:color="auto"/>
      </w:divBdr>
      <w:divsChild>
        <w:div w:id="1186477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1044773">
      <w:bodyDiv w:val="1"/>
      <w:marLeft w:val="0"/>
      <w:marRight w:val="0"/>
      <w:marTop w:val="0"/>
      <w:marBottom w:val="0"/>
      <w:divBdr>
        <w:top w:val="none" w:sz="0" w:space="0" w:color="auto"/>
        <w:left w:val="none" w:sz="0" w:space="0" w:color="auto"/>
        <w:bottom w:val="none" w:sz="0" w:space="0" w:color="auto"/>
        <w:right w:val="none" w:sz="0" w:space="0" w:color="auto"/>
      </w:divBdr>
    </w:div>
    <w:div w:id="589001975">
      <w:bodyDiv w:val="1"/>
      <w:marLeft w:val="0"/>
      <w:marRight w:val="0"/>
      <w:marTop w:val="0"/>
      <w:marBottom w:val="0"/>
      <w:divBdr>
        <w:top w:val="none" w:sz="0" w:space="0" w:color="auto"/>
        <w:left w:val="none" w:sz="0" w:space="0" w:color="auto"/>
        <w:bottom w:val="none" w:sz="0" w:space="0" w:color="auto"/>
        <w:right w:val="none" w:sz="0" w:space="0" w:color="auto"/>
      </w:divBdr>
    </w:div>
    <w:div w:id="599993417">
      <w:bodyDiv w:val="1"/>
      <w:marLeft w:val="0"/>
      <w:marRight w:val="0"/>
      <w:marTop w:val="0"/>
      <w:marBottom w:val="0"/>
      <w:divBdr>
        <w:top w:val="none" w:sz="0" w:space="0" w:color="auto"/>
        <w:left w:val="none" w:sz="0" w:space="0" w:color="auto"/>
        <w:bottom w:val="none" w:sz="0" w:space="0" w:color="auto"/>
        <w:right w:val="none" w:sz="0" w:space="0" w:color="auto"/>
      </w:divBdr>
    </w:div>
    <w:div w:id="662438607">
      <w:bodyDiv w:val="1"/>
      <w:marLeft w:val="0"/>
      <w:marRight w:val="0"/>
      <w:marTop w:val="0"/>
      <w:marBottom w:val="0"/>
      <w:divBdr>
        <w:top w:val="none" w:sz="0" w:space="0" w:color="auto"/>
        <w:left w:val="none" w:sz="0" w:space="0" w:color="auto"/>
        <w:bottom w:val="none" w:sz="0" w:space="0" w:color="auto"/>
        <w:right w:val="none" w:sz="0" w:space="0" w:color="auto"/>
      </w:divBdr>
    </w:div>
    <w:div w:id="708410493">
      <w:bodyDiv w:val="1"/>
      <w:marLeft w:val="0"/>
      <w:marRight w:val="0"/>
      <w:marTop w:val="0"/>
      <w:marBottom w:val="0"/>
      <w:divBdr>
        <w:top w:val="none" w:sz="0" w:space="0" w:color="auto"/>
        <w:left w:val="none" w:sz="0" w:space="0" w:color="auto"/>
        <w:bottom w:val="none" w:sz="0" w:space="0" w:color="auto"/>
        <w:right w:val="none" w:sz="0" w:space="0" w:color="auto"/>
      </w:divBdr>
      <w:divsChild>
        <w:div w:id="567039377">
          <w:marLeft w:val="0"/>
          <w:marRight w:val="0"/>
          <w:marTop w:val="0"/>
          <w:marBottom w:val="0"/>
          <w:divBdr>
            <w:top w:val="none" w:sz="0" w:space="0" w:color="auto"/>
            <w:left w:val="none" w:sz="0" w:space="0" w:color="auto"/>
            <w:bottom w:val="none" w:sz="0" w:space="0" w:color="auto"/>
            <w:right w:val="none" w:sz="0" w:space="0" w:color="auto"/>
          </w:divBdr>
          <w:divsChild>
            <w:div w:id="1831946419">
              <w:marLeft w:val="0"/>
              <w:marRight w:val="0"/>
              <w:marTop w:val="0"/>
              <w:marBottom w:val="0"/>
              <w:divBdr>
                <w:top w:val="none" w:sz="0" w:space="0" w:color="auto"/>
                <w:left w:val="none" w:sz="0" w:space="0" w:color="auto"/>
                <w:bottom w:val="none" w:sz="0" w:space="0" w:color="auto"/>
                <w:right w:val="none" w:sz="0" w:space="0" w:color="auto"/>
              </w:divBdr>
              <w:divsChild>
                <w:div w:id="1906529008">
                  <w:marLeft w:val="0"/>
                  <w:marRight w:val="0"/>
                  <w:marTop w:val="0"/>
                  <w:marBottom w:val="0"/>
                  <w:divBdr>
                    <w:top w:val="none" w:sz="0" w:space="0" w:color="auto"/>
                    <w:left w:val="none" w:sz="0" w:space="0" w:color="auto"/>
                    <w:bottom w:val="none" w:sz="0" w:space="0" w:color="auto"/>
                    <w:right w:val="none" w:sz="0" w:space="0" w:color="auto"/>
                  </w:divBdr>
                  <w:divsChild>
                    <w:div w:id="1790202061">
                      <w:marLeft w:val="0"/>
                      <w:marRight w:val="0"/>
                      <w:marTop w:val="0"/>
                      <w:marBottom w:val="0"/>
                      <w:divBdr>
                        <w:top w:val="none" w:sz="0" w:space="0" w:color="auto"/>
                        <w:left w:val="none" w:sz="0" w:space="0" w:color="auto"/>
                        <w:bottom w:val="none" w:sz="0" w:space="0" w:color="auto"/>
                        <w:right w:val="none" w:sz="0" w:space="0" w:color="auto"/>
                      </w:divBdr>
                      <w:divsChild>
                        <w:div w:id="1612928816">
                          <w:marLeft w:val="0"/>
                          <w:marRight w:val="0"/>
                          <w:marTop w:val="0"/>
                          <w:marBottom w:val="0"/>
                          <w:divBdr>
                            <w:top w:val="none" w:sz="0" w:space="0" w:color="auto"/>
                            <w:left w:val="none" w:sz="0" w:space="0" w:color="auto"/>
                            <w:bottom w:val="none" w:sz="0" w:space="0" w:color="auto"/>
                            <w:right w:val="none" w:sz="0" w:space="0" w:color="auto"/>
                          </w:divBdr>
                          <w:divsChild>
                            <w:div w:id="1406298232">
                              <w:marLeft w:val="0"/>
                              <w:marRight w:val="0"/>
                              <w:marTop w:val="0"/>
                              <w:marBottom w:val="0"/>
                              <w:divBdr>
                                <w:top w:val="none" w:sz="0" w:space="0" w:color="auto"/>
                                <w:left w:val="none" w:sz="0" w:space="0" w:color="auto"/>
                                <w:bottom w:val="none" w:sz="0" w:space="0" w:color="auto"/>
                                <w:right w:val="none" w:sz="0" w:space="0" w:color="auto"/>
                              </w:divBdr>
                              <w:divsChild>
                                <w:div w:id="1135218634">
                                  <w:marLeft w:val="0"/>
                                  <w:marRight w:val="0"/>
                                  <w:marTop w:val="0"/>
                                  <w:marBottom w:val="0"/>
                                  <w:divBdr>
                                    <w:top w:val="none" w:sz="0" w:space="0" w:color="auto"/>
                                    <w:left w:val="none" w:sz="0" w:space="0" w:color="auto"/>
                                    <w:bottom w:val="none" w:sz="0" w:space="0" w:color="auto"/>
                                    <w:right w:val="none" w:sz="0" w:space="0" w:color="auto"/>
                                  </w:divBdr>
                                  <w:divsChild>
                                    <w:div w:id="2734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954681">
          <w:marLeft w:val="0"/>
          <w:marRight w:val="0"/>
          <w:marTop w:val="0"/>
          <w:marBottom w:val="0"/>
          <w:divBdr>
            <w:top w:val="none" w:sz="0" w:space="0" w:color="auto"/>
            <w:left w:val="none" w:sz="0" w:space="0" w:color="auto"/>
            <w:bottom w:val="none" w:sz="0" w:space="0" w:color="auto"/>
            <w:right w:val="none" w:sz="0" w:space="0" w:color="auto"/>
          </w:divBdr>
          <w:divsChild>
            <w:div w:id="645013601">
              <w:marLeft w:val="0"/>
              <w:marRight w:val="0"/>
              <w:marTop w:val="0"/>
              <w:marBottom w:val="0"/>
              <w:divBdr>
                <w:top w:val="none" w:sz="0" w:space="0" w:color="auto"/>
                <w:left w:val="none" w:sz="0" w:space="0" w:color="auto"/>
                <w:bottom w:val="none" w:sz="0" w:space="0" w:color="auto"/>
                <w:right w:val="none" w:sz="0" w:space="0" w:color="auto"/>
              </w:divBdr>
              <w:divsChild>
                <w:div w:id="1810630440">
                  <w:marLeft w:val="0"/>
                  <w:marRight w:val="0"/>
                  <w:marTop w:val="0"/>
                  <w:marBottom w:val="0"/>
                  <w:divBdr>
                    <w:top w:val="none" w:sz="0" w:space="0" w:color="auto"/>
                    <w:left w:val="none" w:sz="0" w:space="0" w:color="auto"/>
                    <w:bottom w:val="none" w:sz="0" w:space="0" w:color="auto"/>
                    <w:right w:val="none" w:sz="0" w:space="0" w:color="auto"/>
                  </w:divBdr>
                  <w:divsChild>
                    <w:div w:id="3992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56461">
              <w:marLeft w:val="-240"/>
              <w:marRight w:val="0"/>
              <w:marTop w:val="0"/>
              <w:marBottom w:val="0"/>
              <w:divBdr>
                <w:top w:val="none" w:sz="0" w:space="0" w:color="auto"/>
                <w:left w:val="none" w:sz="0" w:space="0" w:color="auto"/>
                <w:bottom w:val="none" w:sz="0" w:space="0" w:color="auto"/>
                <w:right w:val="none" w:sz="0" w:space="0" w:color="auto"/>
              </w:divBdr>
              <w:divsChild>
                <w:div w:id="1008823486">
                  <w:marLeft w:val="0"/>
                  <w:marRight w:val="0"/>
                  <w:marTop w:val="0"/>
                  <w:marBottom w:val="0"/>
                  <w:divBdr>
                    <w:top w:val="none" w:sz="0" w:space="0" w:color="auto"/>
                    <w:left w:val="none" w:sz="0" w:space="0" w:color="auto"/>
                    <w:bottom w:val="none" w:sz="0" w:space="0" w:color="auto"/>
                    <w:right w:val="none" w:sz="0" w:space="0" w:color="auto"/>
                  </w:divBdr>
                </w:div>
                <w:div w:id="1917934017">
                  <w:marLeft w:val="0"/>
                  <w:marRight w:val="0"/>
                  <w:marTop w:val="0"/>
                  <w:marBottom w:val="0"/>
                  <w:divBdr>
                    <w:top w:val="none" w:sz="0" w:space="0" w:color="auto"/>
                    <w:left w:val="none" w:sz="0" w:space="0" w:color="auto"/>
                    <w:bottom w:val="none" w:sz="0" w:space="0" w:color="auto"/>
                    <w:right w:val="none" w:sz="0" w:space="0" w:color="auto"/>
                  </w:divBdr>
                  <w:divsChild>
                    <w:div w:id="1395273964">
                      <w:marLeft w:val="0"/>
                      <w:marRight w:val="0"/>
                      <w:marTop w:val="0"/>
                      <w:marBottom w:val="0"/>
                      <w:divBdr>
                        <w:top w:val="none" w:sz="0" w:space="0" w:color="auto"/>
                        <w:left w:val="none" w:sz="0" w:space="0" w:color="auto"/>
                        <w:bottom w:val="none" w:sz="0" w:space="0" w:color="auto"/>
                        <w:right w:val="none" w:sz="0" w:space="0" w:color="auto"/>
                      </w:divBdr>
                    </w:div>
                  </w:divsChild>
                </w:div>
                <w:div w:id="19273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4795">
      <w:bodyDiv w:val="1"/>
      <w:marLeft w:val="0"/>
      <w:marRight w:val="0"/>
      <w:marTop w:val="0"/>
      <w:marBottom w:val="0"/>
      <w:divBdr>
        <w:top w:val="none" w:sz="0" w:space="0" w:color="auto"/>
        <w:left w:val="none" w:sz="0" w:space="0" w:color="auto"/>
        <w:bottom w:val="none" w:sz="0" w:space="0" w:color="auto"/>
        <w:right w:val="none" w:sz="0" w:space="0" w:color="auto"/>
      </w:divBdr>
    </w:div>
    <w:div w:id="774208460">
      <w:bodyDiv w:val="1"/>
      <w:marLeft w:val="0"/>
      <w:marRight w:val="0"/>
      <w:marTop w:val="0"/>
      <w:marBottom w:val="0"/>
      <w:divBdr>
        <w:top w:val="none" w:sz="0" w:space="0" w:color="auto"/>
        <w:left w:val="none" w:sz="0" w:space="0" w:color="auto"/>
        <w:bottom w:val="none" w:sz="0" w:space="0" w:color="auto"/>
        <w:right w:val="none" w:sz="0" w:space="0" w:color="auto"/>
      </w:divBdr>
    </w:div>
    <w:div w:id="822963301">
      <w:bodyDiv w:val="1"/>
      <w:marLeft w:val="0"/>
      <w:marRight w:val="0"/>
      <w:marTop w:val="0"/>
      <w:marBottom w:val="0"/>
      <w:divBdr>
        <w:top w:val="none" w:sz="0" w:space="0" w:color="auto"/>
        <w:left w:val="none" w:sz="0" w:space="0" w:color="auto"/>
        <w:bottom w:val="none" w:sz="0" w:space="0" w:color="auto"/>
        <w:right w:val="none" w:sz="0" w:space="0" w:color="auto"/>
      </w:divBdr>
    </w:div>
    <w:div w:id="840003005">
      <w:bodyDiv w:val="1"/>
      <w:marLeft w:val="0"/>
      <w:marRight w:val="0"/>
      <w:marTop w:val="0"/>
      <w:marBottom w:val="0"/>
      <w:divBdr>
        <w:top w:val="none" w:sz="0" w:space="0" w:color="auto"/>
        <w:left w:val="none" w:sz="0" w:space="0" w:color="auto"/>
        <w:bottom w:val="none" w:sz="0" w:space="0" w:color="auto"/>
        <w:right w:val="none" w:sz="0" w:space="0" w:color="auto"/>
      </w:divBdr>
    </w:div>
    <w:div w:id="867451831">
      <w:bodyDiv w:val="1"/>
      <w:marLeft w:val="0"/>
      <w:marRight w:val="0"/>
      <w:marTop w:val="0"/>
      <w:marBottom w:val="0"/>
      <w:divBdr>
        <w:top w:val="none" w:sz="0" w:space="0" w:color="auto"/>
        <w:left w:val="none" w:sz="0" w:space="0" w:color="auto"/>
        <w:bottom w:val="none" w:sz="0" w:space="0" w:color="auto"/>
        <w:right w:val="none" w:sz="0" w:space="0" w:color="auto"/>
      </w:divBdr>
    </w:div>
    <w:div w:id="915557653">
      <w:bodyDiv w:val="1"/>
      <w:marLeft w:val="0"/>
      <w:marRight w:val="0"/>
      <w:marTop w:val="0"/>
      <w:marBottom w:val="0"/>
      <w:divBdr>
        <w:top w:val="none" w:sz="0" w:space="0" w:color="auto"/>
        <w:left w:val="none" w:sz="0" w:space="0" w:color="auto"/>
        <w:bottom w:val="none" w:sz="0" w:space="0" w:color="auto"/>
        <w:right w:val="none" w:sz="0" w:space="0" w:color="auto"/>
      </w:divBdr>
    </w:div>
    <w:div w:id="936063874">
      <w:bodyDiv w:val="1"/>
      <w:marLeft w:val="0"/>
      <w:marRight w:val="0"/>
      <w:marTop w:val="0"/>
      <w:marBottom w:val="0"/>
      <w:divBdr>
        <w:top w:val="none" w:sz="0" w:space="0" w:color="auto"/>
        <w:left w:val="none" w:sz="0" w:space="0" w:color="auto"/>
        <w:bottom w:val="none" w:sz="0" w:space="0" w:color="auto"/>
        <w:right w:val="none" w:sz="0" w:space="0" w:color="auto"/>
      </w:divBdr>
    </w:div>
    <w:div w:id="954097484">
      <w:bodyDiv w:val="1"/>
      <w:marLeft w:val="0"/>
      <w:marRight w:val="0"/>
      <w:marTop w:val="0"/>
      <w:marBottom w:val="0"/>
      <w:divBdr>
        <w:top w:val="none" w:sz="0" w:space="0" w:color="auto"/>
        <w:left w:val="none" w:sz="0" w:space="0" w:color="auto"/>
        <w:bottom w:val="none" w:sz="0" w:space="0" w:color="auto"/>
        <w:right w:val="none" w:sz="0" w:space="0" w:color="auto"/>
      </w:divBdr>
    </w:div>
    <w:div w:id="1001854666">
      <w:bodyDiv w:val="1"/>
      <w:marLeft w:val="0"/>
      <w:marRight w:val="0"/>
      <w:marTop w:val="0"/>
      <w:marBottom w:val="0"/>
      <w:divBdr>
        <w:top w:val="none" w:sz="0" w:space="0" w:color="auto"/>
        <w:left w:val="none" w:sz="0" w:space="0" w:color="auto"/>
        <w:bottom w:val="none" w:sz="0" w:space="0" w:color="auto"/>
        <w:right w:val="none" w:sz="0" w:space="0" w:color="auto"/>
      </w:divBdr>
    </w:div>
    <w:div w:id="1121849784">
      <w:bodyDiv w:val="1"/>
      <w:marLeft w:val="0"/>
      <w:marRight w:val="0"/>
      <w:marTop w:val="0"/>
      <w:marBottom w:val="0"/>
      <w:divBdr>
        <w:top w:val="none" w:sz="0" w:space="0" w:color="auto"/>
        <w:left w:val="none" w:sz="0" w:space="0" w:color="auto"/>
        <w:bottom w:val="none" w:sz="0" w:space="0" w:color="auto"/>
        <w:right w:val="none" w:sz="0" w:space="0" w:color="auto"/>
      </w:divBdr>
    </w:div>
    <w:div w:id="1223447978">
      <w:bodyDiv w:val="1"/>
      <w:marLeft w:val="0"/>
      <w:marRight w:val="0"/>
      <w:marTop w:val="0"/>
      <w:marBottom w:val="0"/>
      <w:divBdr>
        <w:top w:val="none" w:sz="0" w:space="0" w:color="auto"/>
        <w:left w:val="none" w:sz="0" w:space="0" w:color="auto"/>
        <w:bottom w:val="none" w:sz="0" w:space="0" w:color="auto"/>
        <w:right w:val="none" w:sz="0" w:space="0" w:color="auto"/>
      </w:divBdr>
    </w:div>
    <w:div w:id="1259676657">
      <w:bodyDiv w:val="1"/>
      <w:marLeft w:val="0"/>
      <w:marRight w:val="0"/>
      <w:marTop w:val="0"/>
      <w:marBottom w:val="0"/>
      <w:divBdr>
        <w:top w:val="none" w:sz="0" w:space="0" w:color="auto"/>
        <w:left w:val="none" w:sz="0" w:space="0" w:color="auto"/>
        <w:bottom w:val="none" w:sz="0" w:space="0" w:color="auto"/>
        <w:right w:val="none" w:sz="0" w:space="0" w:color="auto"/>
      </w:divBdr>
    </w:div>
    <w:div w:id="1345398132">
      <w:bodyDiv w:val="1"/>
      <w:marLeft w:val="0"/>
      <w:marRight w:val="0"/>
      <w:marTop w:val="0"/>
      <w:marBottom w:val="0"/>
      <w:divBdr>
        <w:top w:val="none" w:sz="0" w:space="0" w:color="auto"/>
        <w:left w:val="none" w:sz="0" w:space="0" w:color="auto"/>
        <w:bottom w:val="none" w:sz="0" w:space="0" w:color="auto"/>
        <w:right w:val="none" w:sz="0" w:space="0" w:color="auto"/>
      </w:divBdr>
    </w:div>
    <w:div w:id="1406226393">
      <w:bodyDiv w:val="1"/>
      <w:marLeft w:val="0"/>
      <w:marRight w:val="0"/>
      <w:marTop w:val="0"/>
      <w:marBottom w:val="0"/>
      <w:divBdr>
        <w:top w:val="none" w:sz="0" w:space="0" w:color="auto"/>
        <w:left w:val="none" w:sz="0" w:space="0" w:color="auto"/>
        <w:bottom w:val="none" w:sz="0" w:space="0" w:color="auto"/>
        <w:right w:val="none" w:sz="0" w:space="0" w:color="auto"/>
      </w:divBdr>
    </w:div>
    <w:div w:id="1485395876">
      <w:bodyDiv w:val="1"/>
      <w:marLeft w:val="0"/>
      <w:marRight w:val="0"/>
      <w:marTop w:val="0"/>
      <w:marBottom w:val="0"/>
      <w:divBdr>
        <w:top w:val="none" w:sz="0" w:space="0" w:color="auto"/>
        <w:left w:val="none" w:sz="0" w:space="0" w:color="auto"/>
        <w:bottom w:val="none" w:sz="0" w:space="0" w:color="auto"/>
        <w:right w:val="none" w:sz="0" w:space="0" w:color="auto"/>
      </w:divBdr>
    </w:div>
    <w:div w:id="1520654861">
      <w:bodyDiv w:val="1"/>
      <w:marLeft w:val="0"/>
      <w:marRight w:val="0"/>
      <w:marTop w:val="0"/>
      <w:marBottom w:val="0"/>
      <w:divBdr>
        <w:top w:val="none" w:sz="0" w:space="0" w:color="auto"/>
        <w:left w:val="none" w:sz="0" w:space="0" w:color="auto"/>
        <w:bottom w:val="none" w:sz="0" w:space="0" w:color="auto"/>
        <w:right w:val="none" w:sz="0" w:space="0" w:color="auto"/>
      </w:divBdr>
    </w:div>
    <w:div w:id="1546024312">
      <w:bodyDiv w:val="1"/>
      <w:marLeft w:val="0"/>
      <w:marRight w:val="0"/>
      <w:marTop w:val="0"/>
      <w:marBottom w:val="0"/>
      <w:divBdr>
        <w:top w:val="none" w:sz="0" w:space="0" w:color="auto"/>
        <w:left w:val="none" w:sz="0" w:space="0" w:color="auto"/>
        <w:bottom w:val="none" w:sz="0" w:space="0" w:color="auto"/>
        <w:right w:val="none" w:sz="0" w:space="0" w:color="auto"/>
      </w:divBdr>
    </w:div>
    <w:div w:id="1597208363">
      <w:bodyDiv w:val="1"/>
      <w:marLeft w:val="0"/>
      <w:marRight w:val="0"/>
      <w:marTop w:val="0"/>
      <w:marBottom w:val="0"/>
      <w:divBdr>
        <w:top w:val="none" w:sz="0" w:space="0" w:color="auto"/>
        <w:left w:val="none" w:sz="0" w:space="0" w:color="auto"/>
        <w:bottom w:val="none" w:sz="0" w:space="0" w:color="auto"/>
        <w:right w:val="none" w:sz="0" w:space="0" w:color="auto"/>
      </w:divBdr>
    </w:div>
    <w:div w:id="1630628853">
      <w:bodyDiv w:val="1"/>
      <w:marLeft w:val="0"/>
      <w:marRight w:val="0"/>
      <w:marTop w:val="0"/>
      <w:marBottom w:val="0"/>
      <w:divBdr>
        <w:top w:val="none" w:sz="0" w:space="0" w:color="auto"/>
        <w:left w:val="none" w:sz="0" w:space="0" w:color="auto"/>
        <w:bottom w:val="none" w:sz="0" w:space="0" w:color="auto"/>
        <w:right w:val="none" w:sz="0" w:space="0" w:color="auto"/>
      </w:divBdr>
    </w:div>
    <w:div w:id="1651250766">
      <w:bodyDiv w:val="1"/>
      <w:marLeft w:val="0"/>
      <w:marRight w:val="0"/>
      <w:marTop w:val="0"/>
      <w:marBottom w:val="0"/>
      <w:divBdr>
        <w:top w:val="none" w:sz="0" w:space="0" w:color="auto"/>
        <w:left w:val="none" w:sz="0" w:space="0" w:color="auto"/>
        <w:bottom w:val="none" w:sz="0" w:space="0" w:color="auto"/>
        <w:right w:val="none" w:sz="0" w:space="0" w:color="auto"/>
      </w:divBdr>
    </w:div>
    <w:div w:id="1671717416">
      <w:bodyDiv w:val="1"/>
      <w:marLeft w:val="0"/>
      <w:marRight w:val="0"/>
      <w:marTop w:val="0"/>
      <w:marBottom w:val="0"/>
      <w:divBdr>
        <w:top w:val="none" w:sz="0" w:space="0" w:color="auto"/>
        <w:left w:val="none" w:sz="0" w:space="0" w:color="auto"/>
        <w:bottom w:val="none" w:sz="0" w:space="0" w:color="auto"/>
        <w:right w:val="none" w:sz="0" w:space="0" w:color="auto"/>
      </w:divBdr>
    </w:div>
    <w:div w:id="1678270672">
      <w:bodyDiv w:val="1"/>
      <w:marLeft w:val="0"/>
      <w:marRight w:val="0"/>
      <w:marTop w:val="0"/>
      <w:marBottom w:val="0"/>
      <w:divBdr>
        <w:top w:val="none" w:sz="0" w:space="0" w:color="auto"/>
        <w:left w:val="none" w:sz="0" w:space="0" w:color="auto"/>
        <w:bottom w:val="none" w:sz="0" w:space="0" w:color="auto"/>
        <w:right w:val="none" w:sz="0" w:space="0" w:color="auto"/>
      </w:divBdr>
    </w:div>
    <w:div w:id="1694846886">
      <w:bodyDiv w:val="1"/>
      <w:marLeft w:val="0"/>
      <w:marRight w:val="0"/>
      <w:marTop w:val="0"/>
      <w:marBottom w:val="0"/>
      <w:divBdr>
        <w:top w:val="none" w:sz="0" w:space="0" w:color="auto"/>
        <w:left w:val="none" w:sz="0" w:space="0" w:color="auto"/>
        <w:bottom w:val="none" w:sz="0" w:space="0" w:color="auto"/>
        <w:right w:val="none" w:sz="0" w:space="0" w:color="auto"/>
      </w:divBdr>
    </w:div>
    <w:div w:id="1712606482">
      <w:bodyDiv w:val="1"/>
      <w:marLeft w:val="0"/>
      <w:marRight w:val="0"/>
      <w:marTop w:val="0"/>
      <w:marBottom w:val="0"/>
      <w:divBdr>
        <w:top w:val="none" w:sz="0" w:space="0" w:color="auto"/>
        <w:left w:val="none" w:sz="0" w:space="0" w:color="auto"/>
        <w:bottom w:val="none" w:sz="0" w:space="0" w:color="auto"/>
        <w:right w:val="none" w:sz="0" w:space="0" w:color="auto"/>
      </w:divBdr>
      <w:divsChild>
        <w:div w:id="1372918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294465">
      <w:bodyDiv w:val="1"/>
      <w:marLeft w:val="0"/>
      <w:marRight w:val="0"/>
      <w:marTop w:val="0"/>
      <w:marBottom w:val="0"/>
      <w:divBdr>
        <w:top w:val="none" w:sz="0" w:space="0" w:color="auto"/>
        <w:left w:val="none" w:sz="0" w:space="0" w:color="auto"/>
        <w:bottom w:val="none" w:sz="0" w:space="0" w:color="auto"/>
        <w:right w:val="none" w:sz="0" w:space="0" w:color="auto"/>
      </w:divBdr>
    </w:div>
    <w:div w:id="1823278299">
      <w:bodyDiv w:val="1"/>
      <w:marLeft w:val="0"/>
      <w:marRight w:val="0"/>
      <w:marTop w:val="0"/>
      <w:marBottom w:val="0"/>
      <w:divBdr>
        <w:top w:val="none" w:sz="0" w:space="0" w:color="auto"/>
        <w:left w:val="none" w:sz="0" w:space="0" w:color="auto"/>
        <w:bottom w:val="none" w:sz="0" w:space="0" w:color="auto"/>
        <w:right w:val="none" w:sz="0" w:space="0" w:color="auto"/>
      </w:divBdr>
    </w:div>
    <w:div w:id="1851793464">
      <w:bodyDiv w:val="1"/>
      <w:marLeft w:val="0"/>
      <w:marRight w:val="0"/>
      <w:marTop w:val="0"/>
      <w:marBottom w:val="0"/>
      <w:divBdr>
        <w:top w:val="none" w:sz="0" w:space="0" w:color="auto"/>
        <w:left w:val="none" w:sz="0" w:space="0" w:color="auto"/>
        <w:bottom w:val="none" w:sz="0" w:space="0" w:color="auto"/>
        <w:right w:val="none" w:sz="0" w:space="0" w:color="auto"/>
      </w:divBdr>
    </w:div>
    <w:div w:id="1954362291">
      <w:bodyDiv w:val="1"/>
      <w:marLeft w:val="0"/>
      <w:marRight w:val="0"/>
      <w:marTop w:val="0"/>
      <w:marBottom w:val="0"/>
      <w:divBdr>
        <w:top w:val="none" w:sz="0" w:space="0" w:color="auto"/>
        <w:left w:val="none" w:sz="0" w:space="0" w:color="auto"/>
        <w:bottom w:val="none" w:sz="0" w:space="0" w:color="auto"/>
        <w:right w:val="none" w:sz="0" w:space="0" w:color="auto"/>
      </w:divBdr>
    </w:div>
    <w:div w:id="1977948705">
      <w:bodyDiv w:val="1"/>
      <w:marLeft w:val="0"/>
      <w:marRight w:val="0"/>
      <w:marTop w:val="0"/>
      <w:marBottom w:val="0"/>
      <w:divBdr>
        <w:top w:val="none" w:sz="0" w:space="0" w:color="auto"/>
        <w:left w:val="none" w:sz="0" w:space="0" w:color="auto"/>
        <w:bottom w:val="none" w:sz="0" w:space="0" w:color="auto"/>
        <w:right w:val="none" w:sz="0" w:space="0" w:color="auto"/>
      </w:divBdr>
    </w:div>
    <w:div w:id="2061857125">
      <w:bodyDiv w:val="1"/>
      <w:marLeft w:val="0"/>
      <w:marRight w:val="0"/>
      <w:marTop w:val="0"/>
      <w:marBottom w:val="0"/>
      <w:divBdr>
        <w:top w:val="none" w:sz="0" w:space="0" w:color="auto"/>
        <w:left w:val="none" w:sz="0" w:space="0" w:color="auto"/>
        <w:bottom w:val="none" w:sz="0" w:space="0" w:color="auto"/>
        <w:right w:val="none" w:sz="0" w:space="0" w:color="auto"/>
      </w:divBdr>
    </w:div>
    <w:div w:id="2064982189">
      <w:bodyDiv w:val="1"/>
      <w:marLeft w:val="0"/>
      <w:marRight w:val="0"/>
      <w:marTop w:val="0"/>
      <w:marBottom w:val="0"/>
      <w:divBdr>
        <w:top w:val="none" w:sz="0" w:space="0" w:color="auto"/>
        <w:left w:val="none" w:sz="0" w:space="0" w:color="auto"/>
        <w:bottom w:val="none" w:sz="0" w:space="0" w:color="auto"/>
        <w:right w:val="none" w:sz="0" w:space="0" w:color="auto"/>
      </w:divBdr>
    </w:div>
    <w:div w:id="2100178149">
      <w:bodyDiv w:val="1"/>
      <w:marLeft w:val="0"/>
      <w:marRight w:val="0"/>
      <w:marTop w:val="0"/>
      <w:marBottom w:val="0"/>
      <w:divBdr>
        <w:top w:val="none" w:sz="0" w:space="0" w:color="auto"/>
        <w:left w:val="none" w:sz="0" w:space="0" w:color="auto"/>
        <w:bottom w:val="none" w:sz="0" w:space="0" w:color="auto"/>
        <w:right w:val="none" w:sz="0" w:space="0" w:color="auto"/>
      </w:divBdr>
      <w:divsChild>
        <w:div w:id="842016030">
          <w:marLeft w:val="0"/>
          <w:marRight w:val="0"/>
          <w:marTop w:val="0"/>
          <w:marBottom w:val="0"/>
          <w:divBdr>
            <w:top w:val="none" w:sz="0" w:space="0" w:color="auto"/>
            <w:left w:val="none" w:sz="0" w:space="0" w:color="auto"/>
            <w:bottom w:val="none" w:sz="0" w:space="0" w:color="auto"/>
            <w:right w:val="none" w:sz="0" w:space="0" w:color="auto"/>
          </w:divBdr>
          <w:divsChild>
            <w:div w:id="392118578">
              <w:marLeft w:val="0"/>
              <w:marRight w:val="0"/>
              <w:marTop w:val="0"/>
              <w:marBottom w:val="0"/>
              <w:divBdr>
                <w:top w:val="none" w:sz="0" w:space="0" w:color="auto"/>
                <w:left w:val="none" w:sz="0" w:space="0" w:color="auto"/>
                <w:bottom w:val="none" w:sz="0" w:space="0" w:color="auto"/>
                <w:right w:val="none" w:sz="0" w:space="0" w:color="auto"/>
              </w:divBdr>
              <w:divsChild>
                <w:div w:id="1379743154">
                  <w:marLeft w:val="0"/>
                  <w:marRight w:val="0"/>
                  <w:marTop w:val="0"/>
                  <w:marBottom w:val="0"/>
                  <w:divBdr>
                    <w:top w:val="none" w:sz="0" w:space="0" w:color="auto"/>
                    <w:left w:val="none" w:sz="0" w:space="0" w:color="auto"/>
                    <w:bottom w:val="none" w:sz="0" w:space="0" w:color="auto"/>
                    <w:right w:val="none" w:sz="0" w:space="0" w:color="auto"/>
                  </w:divBdr>
                  <w:divsChild>
                    <w:div w:id="135994955">
                      <w:marLeft w:val="0"/>
                      <w:marRight w:val="0"/>
                      <w:marTop w:val="0"/>
                      <w:marBottom w:val="0"/>
                      <w:divBdr>
                        <w:top w:val="none" w:sz="0" w:space="0" w:color="auto"/>
                        <w:left w:val="none" w:sz="0" w:space="0" w:color="auto"/>
                        <w:bottom w:val="none" w:sz="0" w:space="0" w:color="auto"/>
                        <w:right w:val="none" w:sz="0" w:space="0" w:color="auto"/>
                      </w:divBdr>
                      <w:divsChild>
                        <w:div w:id="1334720960">
                          <w:marLeft w:val="0"/>
                          <w:marRight w:val="0"/>
                          <w:marTop w:val="0"/>
                          <w:marBottom w:val="0"/>
                          <w:divBdr>
                            <w:top w:val="none" w:sz="0" w:space="0" w:color="auto"/>
                            <w:left w:val="none" w:sz="0" w:space="0" w:color="auto"/>
                            <w:bottom w:val="none" w:sz="0" w:space="0" w:color="auto"/>
                            <w:right w:val="none" w:sz="0" w:space="0" w:color="auto"/>
                          </w:divBdr>
                          <w:divsChild>
                            <w:div w:id="1022633148">
                              <w:marLeft w:val="0"/>
                              <w:marRight w:val="0"/>
                              <w:marTop w:val="0"/>
                              <w:marBottom w:val="0"/>
                              <w:divBdr>
                                <w:top w:val="none" w:sz="0" w:space="0" w:color="auto"/>
                                <w:left w:val="none" w:sz="0" w:space="0" w:color="auto"/>
                                <w:bottom w:val="none" w:sz="0" w:space="0" w:color="auto"/>
                                <w:right w:val="none" w:sz="0" w:space="0" w:color="auto"/>
                              </w:divBdr>
                              <w:divsChild>
                                <w:div w:id="523708634">
                                  <w:marLeft w:val="0"/>
                                  <w:marRight w:val="0"/>
                                  <w:marTop w:val="0"/>
                                  <w:marBottom w:val="0"/>
                                  <w:divBdr>
                                    <w:top w:val="none" w:sz="0" w:space="0" w:color="auto"/>
                                    <w:left w:val="none" w:sz="0" w:space="0" w:color="auto"/>
                                    <w:bottom w:val="none" w:sz="0" w:space="0" w:color="auto"/>
                                    <w:right w:val="none" w:sz="0" w:space="0" w:color="auto"/>
                                  </w:divBdr>
                                  <w:divsChild>
                                    <w:div w:id="169989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611973">
                      <w:marLeft w:val="0"/>
                      <w:marRight w:val="0"/>
                      <w:marTop w:val="0"/>
                      <w:marBottom w:val="0"/>
                      <w:divBdr>
                        <w:top w:val="none" w:sz="0" w:space="0" w:color="auto"/>
                        <w:left w:val="none" w:sz="0" w:space="0" w:color="auto"/>
                        <w:bottom w:val="none" w:sz="0" w:space="0" w:color="auto"/>
                        <w:right w:val="none" w:sz="0" w:space="0" w:color="auto"/>
                      </w:divBdr>
                      <w:divsChild>
                        <w:div w:id="9698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619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mailto:jrosmar@ufdpar.edu.br" TargetMode="External"/><Relationship Id="rId2" Type="http://schemas.openxmlformats.org/officeDocument/2006/relationships/hyperlink" Target="mailto:mariaemcoliveira@ufdpar.edu.br" TargetMode="External"/><Relationship Id="rId1" Type="http://schemas.openxmlformats.org/officeDocument/2006/relationships/hyperlink" Target="mailto:leviborges@ufdpar.edu.br" TargetMode="External"/><Relationship Id="rId4" Type="http://schemas.openxmlformats.org/officeDocument/2006/relationships/hyperlink" Target="mailto:fabio.gama@ufdpar.edu.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vi\Downloads\PIBIC-ofp\Dados%202023-2024%20(deflacionado)-de%20fa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vi\Downloads\PIBIC-ofp\Dados%202023-2024%20(deflacionado)-de%20fa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vi\Downloads\PIBIC-ofp\Dados%202023-2024%20(deflacionado)-de%20fat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vi\Downloads\PIBIC-ofp\Dados%202023-2024%20(deflacionado)-de%20fat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vi\Downloads\PIBIC-ofp\Dados%202023-2024%20(deflacionado)-de%20fat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Planilha1!$K$7</c:f>
              <c:strCache>
                <c:ptCount val="1"/>
                <c:pt idx="0">
                  <c:v>ROT</c:v>
                </c:pt>
              </c:strCache>
            </c:strRef>
          </c:tx>
          <c:spPr>
            <a:solidFill>
              <a:schemeClr val="accent1"/>
            </a:solidFill>
            <a:ln>
              <a:noFill/>
            </a:ln>
            <a:effectLst/>
          </c:spPr>
          <c:invertIfNegative val="0"/>
          <c:dLbls>
            <c:dLbl>
              <c:idx val="0"/>
              <c:layout>
                <c:manualLayout>
                  <c:x val="-2.4986905738778219E-2"/>
                  <c:y val="-4.629745140198660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36688888888888888"/>
                      <c:h val="0.16645851560221639"/>
                    </c:manualLayout>
                  </c15:layout>
                </c:ext>
                <c:ext xmlns:c16="http://schemas.microsoft.com/office/drawing/2014/chart" uri="{C3380CC4-5D6E-409C-BE32-E72D297353CC}">
                  <c16:uniqueId val="{00000000-4CCE-4DB5-A12D-B55EAD9B81CC}"/>
                </c:ext>
              </c:extLst>
            </c:dLbl>
            <c:dLbl>
              <c:idx val="1"/>
              <c:layout>
                <c:manualLayout>
                  <c:x val="-3.0914095826714812E-3"/>
                  <c:y val="9.2591233644722434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36541572824461244"/>
                      <c:h val="0.16645838072664029"/>
                    </c:manualLayout>
                  </c15:layout>
                </c:ext>
                <c:ext xmlns:c16="http://schemas.microsoft.com/office/drawing/2014/chart" uri="{C3380CC4-5D6E-409C-BE32-E72D297353CC}">
                  <c16:uniqueId val="{00000001-4CCE-4DB5-A12D-B55EAD9B81CC}"/>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Planilha1!$J$8:$J$9</c:f>
              <c:numCache>
                <c:formatCode>General</c:formatCode>
                <c:ptCount val="2"/>
                <c:pt idx="0">
                  <c:v>2023</c:v>
                </c:pt>
                <c:pt idx="1">
                  <c:v>2024</c:v>
                </c:pt>
              </c:numCache>
            </c:numRef>
          </c:cat>
          <c:val>
            <c:numRef>
              <c:f>Planilha1!$K$8:$K$9</c:f>
              <c:numCache>
                <c:formatCode>_("R$"* #,##0.00_);_("R$"* \(#,##0.00\);_("R$"* "-"??_);_(@_)</c:formatCode>
                <c:ptCount val="2"/>
                <c:pt idx="0">
                  <c:v>3183763995820.4487</c:v>
                </c:pt>
                <c:pt idx="1">
                  <c:v>3460916861215.2402</c:v>
                </c:pt>
              </c:numCache>
            </c:numRef>
          </c:val>
          <c:extLst>
            <c:ext xmlns:c16="http://schemas.microsoft.com/office/drawing/2014/chart" uri="{C3380CC4-5D6E-409C-BE32-E72D297353CC}">
              <c16:uniqueId val="{00000002-4CCE-4DB5-A12D-B55EAD9B81CC}"/>
            </c:ext>
          </c:extLst>
        </c:ser>
        <c:dLbls>
          <c:dLblPos val="inEnd"/>
          <c:showLegendKey val="0"/>
          <c:showVal val="1"/>
          <c:showCatName val="0"/>
          <c:showSerName val="0"/>
          <c:showPercent val="0"/>
          <c:showBubbleSize val="0"/>
        </c:dLbls>
        <c:gapWidth val="182"/>
        <c:axId val="213938463"/>
        <c:axId val="213939423"/>
      </c:barChart>
      <c:catAx>
        <c:axId val="213938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13939423"/>
        <c:crosses val="autoZero"/>
        <c:auto val="1"/>
        <c:lblAlgn val="ctr"/>
        <c:lblOffset val="100"/>
        <c:noMultiLvlLbl val="0"/>
      </c:catAx>
      <c:valAx>
        <c:axId val="213939423"/>
        <c:scaling>
          <c:orientation val="minMax"/>
        </c:scaling>
        <c:delete val="0"/>
        <c:axPos val="b"/>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1393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Planilha1!$K$19</c:f>
              <c:strCache>
                <c:ptCount val="1"/>
                <c:pt idx="0">
                  <c:v>2023</c:v>
                </c:pt>
              </c:strCache>
            </c:strRef>
          </c:tx>
          <c:spPr>
            <a:solidFill>
              <a:schemeClr val="accent6"/>
            </a:solidFill>
            <a:ln>
              <a:noFill/>
            </a:ln>
            <a:effectLst/>
          </c:spPr>
          <c:invertIfNegative val="0"/>
          <c:dLbls>
            <c:dLbl>
              <c:idx val="0"/>
              <c:layout>
                <c:manualLayout>
                  <c:x val="-1.9122609673790777E-3"/>
                  <c:y val="9.25925925925917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AF-4265-9C6D-B97A7723EA8F}"/>
                </c:ext>
              </c:extLst>
            </c:dLbl>
            <c:dLbl>
              <c:idx val="1"/>
              <c:layout>
                <c:manualLayout>
                  <c:x val="-8.819022473558224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AF-4265-9C6D-B97A7723EA8F}"/>
                </c:ext>
              </c:extLst>
            </c:dLbl>
            <c:dLbl>
              <c:idx val="2"/>
              <c:layout>
                <c:manualLayout>
                  <c:x val="4.384700128892925E-3"/>
                  <c:y val="4.62979258090215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AF-4265-9C6D-B97A7723EA8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Planilha1!$J$20:$J$24</c:f>
              <c:strCache>
                <c:ptCount val="4"/>
                <c:pt idx="0">
                  <c:v>Receita de Contribuições Sociais</c:v>
                </c:pt>
                <c:pt idx="1">
                  <c:v>Receita Tributária</c:v>
                </c:pt>
                <c:pt idx="2">
                  <c:v>Receita de Operações de Crédito</c:v>
                </c:pt>
                <c:pt idx="3">
                  <c:v>Receita Transferência Correntes</c:v>
                </c:pt>
              </c:strCache>
            </c:strRef>
          </c:cat>
          <c:val>
            <c:numRef>
              <c:f>Planilha1!$K$20:$K$24</c:f>
              <c:numCache>
                <c:formatCode>_("R$"* #,##0.00_);_("R$"* \(#,##0.00\);_("R$"* "-"??_);_(@_)</c:formatCode>
                <c:ptCount val="5"/>
                <c:pt idx="0">
                  <c:v>1279111134764.4028</c:v>
                </c:pt>
                <c:pt idx="1">
                  <c:v>948842413389.14136</c:v>
                </c:pt>
                <c:pt idx="2">
                  <c:v>401903069600.97101</c:v>
                </c:pt>
                <c:pt idx="3">
                  <c:v>259038645.31248599</c:v>
                </c:pt>
              </c:numCache>
            </c:numRef>
          </c:val>
          <c:extLst>
            <c:ext xmlns:c16="http://schemas.microsoft.com/office/drawing/2014/chart" uri="{C3380CC4-5D6E-409C-BE32-E72D297353CC}">
              <c16:uniqueId val="{00000004-38AF-4265-9C6D-B97A7723EA8F}"/>
            </c:ext>
          </c:extLst>
        </c:ser>
        <c:ser>
          <c:idx val="1"/>
          <c:order val="1"/>
          <c:tx>
            <c:strRef>
              <c:f>Planilha1!$L$19</c:f>
              <c:strCache>
                <c:ptCount val="1"/>
                <c:pt idx="0">
                  <c:v>2024</c:v>
                </c:pt>
              </c:strCache>
            </c:strRef>
          </c:tx>
          <c:spPr>
            <a:solidFill>
              <a:schemeClr val="accent5"/>
            </a:solidFill>
            <a:ln>
              <a:noFill/>
            </a:ln>
            <a:effectLst/>
          </c:spPr>
          <c:invertIfNegative val="0"/>
          <c:dLbls>
            <c:dLbl>
              <c:idx val="0"/>
              <c:layout>
                <c:manualLayout>
                  <c:x val="-1.4832049085421993E-3"/>
                  <c:y val="-3.92167994141323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AF-4265-9C6D-B97A7723EA8F}"/>
                </c:ext>
              </c:extLst>
            </c:dLbl>
            <c:dLbl>
              <c:idx val="1"/>
              <c:layout>
                <c:manualLayout>
                  <c:x val="-3.7495981848880066E-3"/>
                  <c:y val="-4.6297925809022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AF-4265-9C6D-B97A7723EA8F}"/>
                </c:ext>
              </c:extLst>
            </c:dLbl>
            <c:dLbl>
              <c:idx val="2"/>
              <c:layout>
                <c:manualLayout>
                  <c:x val="2.0123524987438403E-3"/>
                  <c:y val="-4.62979258090215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AF-4265-9C6D-B97A7723EA8F}"/>
                </c:ext>
              </c:extLst>
            </c:dLbl>
            <c:dLbl>
              <c:idx val="3"/>
              <c:layout>
                <c:manualLayout>
                  <c:x val="-9.4251001026774155E-4"/>
                  <c:y val="-3.25841569731685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8AF-4265-9C6D-B97A7723EA8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Planilha1!$J$20:$J$24</c:f>
              <c:strCache>
                <c:ptCount val="4"/>
                <c:pt idx="0">
                  <c:v>Receita de Contribuições Sociais</c:v>
                </c:pt>
                <c:pt idx="1">
                  <c:v>Receita Tributária</c:v>
                </c:pt>
                <c:pt idx="2">
                  <c:v>Receita de Operações de Crédito</c:v>
                </c:pt>
                <c:pt idx="3">
                  <c:v>Receita Transferência Correntes</c:v>
                </c:pt>
              </c:strCache>
            </c:strRef>
          </c:cat>
          <c:val>
            <c:numRef>
              <c:f>Planilha1!$L$20:$L$24</c:f>
              <c:numCache>
                <c:formatCode>_("R$"* #,##0.00_);_("R$"* \(#,##0.00\);_("R$"* "-"??_);_(@_)</c:formatCode>
                <c:ptCount val="5"/>
                <c:pt idx="0">
                  <c:v>1377481271944.4099</c:v>
                </c:pt>
                <c:pt idx="1">
                  <c:v>1028017956062.35</c:v>
                </c:pt>
                <c:pt idx="2">
                  <c:v>528272602349.21997</c:v>
                </c:pt>
                <c:pt idx="3">
                  <c:v>363013641.54000002</c:v>
                </c:pt>
              </c:numCache>
            </c:numRef>
          </c:val>
          <c:extLst>
            <c:ext xmlns:c16="http://schemas.microsoft.com/office/drawing/2014/chart" uri="{C3380CC4-5D6E-409C-BE32-E72D297353CC}">
              <c16:uniqueId val="{00000009-38AF-4265-9C6D-B97A7723EA8F}"/>
            </c:ext>
          </c:extLst>
        </c:ser>
        <c:dLbls>
          <c:dLblPos val="inEnd"/>
          <c:showLegendKey val="0"/>
          <c:showVal val="1"/>
          <c:showCatName val="0"/>
          <c:showSerName val="0"/>
          <c:showPercent val="0"/>
          <c:showBubbleSize val="0"/>
        </c:dLbls>
        <c:gapWidth val="269"/>
        <c:axId val="96598415"/>
        <c:axId val="96599375"/>
      </c:barChart>
      <c:catAx>
        <c:axId val="96598415"/>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96599375"/>
        <c:crosses val="autoZero"/>
        <c:auto val="1"/>
        <c:lblAlgn val="ctr"/>
        <c:lblOffset val="100"/>
        <c:noMultiLvlLbl val="0"/>
      </c:catAx>
      <c:valAx>
        <c:axId val="9659937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965984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Planilha1!$L$36</c:f>
              <c:strCache>
                <c:ptCount val="1"/>
                <c:pt idx="0">
                  <c:v>2023</c:v>
                </c:pt>
              </c:strCache>
            </c:strRef>
          </c:tx>
          <c:spPr>
            <a:solidFill>
              <a:schemeClr val="accent6"/>
            </a:solidFill>
            <a:ln>
              <a:noFill/>
            </a:ln>
            <a:effectLst/>
          </c:spPr>
          <c:invertIfNegative val="0"/>
          <c:dLbls>
            <c:dLbl>
              <c:idx val="0"/>
              <c:layout>
                <c:manualLayout>
                  <c:x val="-1.0684601924759406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E5-4214-A36F-77965BAE00DD}"/>
                </c:ext>
              </c:extLst>
            </c:dLbl>
            <c:dLbl>
              <c:idx val="1"/>
              <c:layout>
                <c:manualLayout>
                  <c:x val="-2.69809549842678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E5-4214-A36F-77965BAE00DD}"/>
                </c:ext>
              </c:extLst>
            </c:dLbl>
            <c:dLbl>
              <c:idx val="2"/>
              <c:layout>
                <c:manualLayout>
                  <c:x val="-6.005872117350346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E5-4214-A36F-77965BAE00DD}"/>
                </c:ext>
              </c:extLst>
            </c:dLbl>
            <c:dLbl>
              <c:idx val="3"/>
              <c:layout>
                <c:manualLayout>
                  <c:x val="-5.5143764258992808E-3"/>
                  <c:y val="5.51876379690949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E5-4214-A36F-77965BAE00D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Planilha1!$K$37:$K$40</c:f>
              <c:strCache>
                <c:ptCount val="4"/>
                <c:pt idx="0">
                  <c:v>Receita de RGPS</c:v>
                </c:pt>
                <c:pt idx="1">
                  <c:v>Receita de COFINS</c:v>
                </c:pt>
                <c:pt idx="2">
                  <c:v>Receita de CSLL</c:v>
                </c:pt>
                <c:pt idx="3">
                  <c:v>Receita de PIS/PASEP</c:v>
                </c:pt>
              </c:strCache>
            </c:strRef>
          </c:cat>
          <c:val>
            <c:numRef>
              <c:f>Planilha1!$L$37:$L$40</c:f>
              <c:numCache>
                <c:formatCode>_("R$"* #,##0.00_);_("R$"* \(#,##0.00\);_("R$"* "-"??_);_(@_)</c:formatCode>
                <c:ptCount val="4"/>
                <c:pt idx="0">
                  <c:v>625252486765.51233</c:v>
                </c:pt>
                <c:pt idx="1">
                  <c:v>312996451942.07062</c:v>
                </c:pt>
                <c:pt idx="2">
                  <c:v>158849628448.21506</c:v>
                </c:pt>
                <c:pt idx="3">
                  <c:v>90510686634.806564</c:v>
                </c:pt>
              </c:numCache>
            </c:numRef>
          </c:val>
          <c:extLst>
            <c:ext xmlns:c16="http://schemas.microsoft.com/office/drawing/2014/chart" uri="{C3380CC4-5D6E-409C-BE32-E72D297353CC}">
              <c16:uniqueId val="{00000004-46E5-4214-A36F-77965BAE00DD}"/>
            </c:ext>
          </c:extLst>
        </c:ser>
        <c:ser>
          <c:idx val="1"/>
          <c:order val="1"/>
          <c:tx>
            <c:strRef>
              <c:f>Planilha1!$M$36</c:f>
              <c:strCache>
                <c:ptCount val="1"/>
                <c:pt idx="0">
                  <c:v>2024</c:v>
                </c:pt>
              </c:strCache>
            </c:strRef>
          </c:tx>
          <c:spPr>
            <a:solidFill>
              <a:schemeClr val="accent5"/>
            </a:solidFill>
            <a:ln>
              <a:noFill/>
            </a:ln>
            <a:effectLst/>
          </c:spPr>
          <c:invertIfNegative val="0"/>
          <c:dLbls>
            <c:dLbl>
              <c:idx val="0"/>
              <c:layout>
                <c:manualLayout>
                  <c:x val="-7.4037620297462815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E5-4214-A36F-77965BAE00DD}"/>
                </c:ext>
              </c:extLst>
            </c:dLbl>
            <c:dLbl>
              <c:idx val="1"/>
              <c:layout>
                <c:manualLayout>
                  <c:x val="-5.4800531126733528E-3"/>
                  <c:y val="-4.62967791277745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E5-4214-A36F-77965BAE00DD}"/>
                </c:ext>
              </c:extLst>
            </c:dLbl>
            <c:dLbl>
              <c:idx val="2"/>
              <c:layout>
                <c:manualLayout>
                  <c:x val="-9.0728547708078863E-3"/>
                  <c:y val="4.62967791277740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E5-4214-A36F-77965BAE00DD}"/>
                </c:ext>
              </c:extLst>
            </c:dLbl>
            <c:dLbl>
              <c:idx val="3"/>
              <c:layout>
                <c:manualLayout>
                  <c:x val="-1.55976596675416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E5-4214-A36F-77965BAE00D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Planilha1!$K$37:$K$40</c:f>
              <c:strCache>
                <c:ptCount val="4"/>
                <c:pt idx="0">
                  <c:v>Receita de RGPS</c:v>
                </c:pt>
                <c:pt idx="1">
                  <c:v>Receita de COFINS</c:v>
                </c:pt>
                <c:pt idx="2">
                  <c:v>Receita de CSLL</c:v>
                </c:pt>
                <c:pt idx="3">
                  <c:v>Receita de PIS/PASEP</c:v>
                </c:pt>
              </c:strCache>
            </c:strRef>
          </c:cat>
          <c:val>
            <c:numRef>
              <c:f>Planilha1!$M$37:$M$40</c:f>
              <c:numCache>
                <c:formatCode>_("R$"* #,##0.00_);_("R$"* \(#,##0.00\);_("R$"* "-"??_);_(@_)</c:formatCode>
                <c:ptCount val="4"/>
                <c:pt idx="0">
                  <c:v>636975361253.21997</c:v>
                </c:pt>
                <c:pt idx="1">
                  <c:v>367241666311.62</c:v>
                </c:pt>
                <c:pt idx="2">
                  <c:v>166760218530.39999</c:v>
                </c:pt>
                <c:pt idx="3">
                  <c:v>103823660117.21001</c:v>
                </c:pt>
              </c:numCache>
            </c:numRef>
          </c:val>
          <c:extLst>
            <c:ext xmlns:c16="http://schemas.microsoft.com/office/drawing/2014/chart" uri="{C3380CC4-5D6E-409C-BE32-E72D297353CC}">
              <c16:uniqueId val="{00000009-46E5-4214-A36F-77965BAE00DD}"/>
            </c:ext>
          </c:extLst>
        </c:ser>
        <c:dLbls>
          <c:dLblPos val="inEnd"/>
          <c:showLegendKey val="0"/>
          <c:showVal val="1"/>
          <c:showCatName val="0"/>
          <c:showSerName val="0"/>
          <c:showPercent val="0"/>
          <c:showBubbleSize val="0"/>
        </c:dLbls>
        <c:gapWidth val="269"/>
        <c:axId val="350268335"/>
        <c:axId val="350271215"/>
      </c:barChart>
      <c:catAx>
        <c:axId val="350268335"/>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50271215"/>
        <c:crosses val="autoZero"/>
        <c:auto val="1"/>
        <c:lblAlgn val="ctr"/>
        <c:lblOffset val="100"/>
        <c:noMultiLvlLbl val="0"/>
      </c:catAx>
      <c:valAx>
        <c:axId val="35027121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502683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Planilha1!$L$55</c:f>
              <c:strCache>
                <c:ptCount val="1"/>
                <c:pt idx="0">
                  <c:v>2023</c:v>
                </c:pt>
              </c:strCache>
            </c:strRef>
          </c:tx>
          <c:spPr>
            <a:solidFill>
              <a:schemeClr val="accent6"/>
            </a:solidFill>
            <a:ln>
              <a:noFill/>
            </a:ln>
            <a:effectLst/>
          </c:spPr>
          <c:invertIfNegative val="0"/>
          <c:dLbls>
            <c:dLbl>
              <c:idx val="0"/>
              <c:layout>
                <c:manualLayout>
                  <c:x val="1.4770458732151195E-3"/>
                  <c:y val="9.19537040248812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5F-44B3-9B17-5F53CF8E9122}"/>
                </c:ext>
              </c:extLst>
            </c:dLbl>
            <c:dLbl>
              <c:idx val="1"/>
              <c:layout>
                <c:manualLayout>
                  <c:x val="7.0807452327997624E-3"/>
                  <c:y val="4.59768520124411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5F-44B3-9B17-5F53CF8E9122}"/>
                </c:ext>
              </c:extLst>
            </c:dLbl>
            <c:dLbl>
              <c:idx val="2"/>
              <c:layout>
                <c:manualLayout>
                  <c:x val="5.65187722877384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5F-44B3-9B17-5F53CF8E9122}"/>
                </c:ext>
              </c:extLst>
            </c:dLbl>
            <c:dLbl>
              <c:idx val="3"/>
              <c:layout>
                <c:manualLayout>
                  <c:x val="-8.14654418197725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5F-44B3-9B17-5F53CF8E9122}"/>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Planilha1!$K$56:$K$59</c:f>
              <c:strCache>
                <c:ptCount val="4"/>
                <c:pt idx="0">
                  <c:v>Receita de Imposto sobre a renda - retido na fonte</c:v>
                </c:pt>
                <c:pt idx="1">
                  <c:v>Receita de IRPJ</c:v>
                </c:pt>
                <c:pt idx="2">
                  <c:v>Receita de IRPF</c:v>
                </c:pt>
                <c:pt idx="3">
                  <c:v>Receita de ITR</c:v>
                </c:pt>
              </c:strCache>
            </c:strRef>
          </c:cat>
          <c:val>
            <c:numRef>
              <c:f>Planilha1!$L$56:$L$59</c:f>
              <c:numCache>
                <c:formatCode>_("R$"* #,##0.00_);_("R$"* \(#,##0.00\);_("R$"* "-"??_);_(@_)</c:formatCode>
                <c:ptCount val="4"/>
                <c:pt idx="0">
                  <c:v>400717799514.69495</c:v>
                </c:pt>
                <c:pt idx="1">
                  <c:v>279671762085.02612</c:v>
                </c:pt>
                <c:pt idx="2">
                  <c:v>63434655469.09803</c:v>
                </c:pt>
                <c:pt idx="3">
                  <c:v>3483550148.4622798</c:v>
                </c:pt>
              </c:numCache>
            </c:numRef>
          </c:val>
          <c:extLst>
            <c:ext xmlns:c16="http://schemas.microsoft.com/office/drawing/2014/chart" uri="{C3380CC4-5D6E-409C-BE32-E72D297353CC}">
              <c16:uniqueId val="{00000004-CB5F-44B3-9B17-5F53CF8E9122}"/>
            </c:ext>
          </c:extLst>
        </c:ser>
        <c:ser>
          <c:idx val="1"/>
          <c:order val="1"/>
          <c:tx>
            <c:strRef>
              <c:f>Planilha1!$M$55</c:f>
              <c:strCache>
                <c:ptCount val="1"/>
                <c:pt idx="0">
                  <c:v>2024</c:v>
                </c:pt>
              </c:strCache>
            </c:strRef>
          </c:tx>
          <c:spPr>
            <a:solidFill>
              <a:schemeClr val="accent5"/>
            </a:solidFill>
            <a:ln>
              <a:noFill/>
            </a:ln>
            <a:effectLst/>
          </c:spPr>
          <c:invertIfNegative val="0"/>
          <c:dLbls>
            <c:dLbl>
              <c:idx val="0"/>
              <c:layout>
                <c:manualLayout>
                  <c:x val="6.49332561319478E-3"/>
                  <c:y val="-4.59768520124411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5F-44B3-9B17-5F53CF8E9122}"/>
                </c:ext>
              </c:extLst>
            </c:dLbl>
            <c:dLbl>
              <c:idx val="1"/>
              <c:layout>
                <c:manualLayout>
                  <c:x val="-2.408017498202171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5F-44B3-9B17-5F53CF8E9122}"/>
                </c:ext>
              </c:extLst>
            </c:dLbl>
            <c:dLbl>
              <c:idx val="2"/>
              <c:layout>
                <c:manualLayout>
                  <c:x val="-3.323046628293724E-3"/>
                  <c:y val="-4.59768520124411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5F-44B3-9B17-5F53CF8E9122}"/>
                </c:ext>
              </c:extLst>
            </c:dLbl>
            <c:dLbl>
              <c:idx val="3"/>
              <c:layout>
                <c:manualLayout>
                  <c:x val="-7.0840738855801888E-3"/>
                  <c:y val="-2.22872801692739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5F-44B3-9B17-5F53CF8E9122}"/>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Planilha1!$K$56:$K$59</c:f>
              <c:strCache>
                <c:ptCount val="4"/>
                <c:pt idx="0">
                  <c:v>Receita de Imposto sobre a renda - retido na fonte</c:v>
                </c:pt>
                <c:pt idx="1">
                  <c:v>Receita de IRPJ</c:v>
                </c:pt>
                <c:pt idx="2">
                  <c:v>Receita de IRPF</c:v>
                </c:pt>
                <c:pt idx="3">
                  <c:v>Receita de ITR</c:v>
                </c:pt>
              </c:strCache>
            </c:strRef>
          </c:cat>
          <c:val>
            <c:numRef>
              <c:f>Planilha1!$M$56:$M$59</c:f>
              <c:numCache>
                <c:formatCode>_("R$"* #,##0.00_);_("R$"* \(#,##0.00\);_("R$"* "-"??_);_(@_)</c:formatCode>
                <c:ptCount val="4"/>
                <c:pt idx="0">
                  <c:v>433699926924.76001</c:v>
                </c:pt>
                <c:pt idx="1">
                  <c:v>280427113125.39001</c:v>
                </c:pt>
                <c:pt idx="2">
                  <c:v>71023575528.759995</c:v>
                </c:pt>
                <c:pt idx="3">
                  <c:v>3492764058.3400002</c:v>
                </c:pt>
              </c:numCache>
            </c:numRef>
          </c:val>
          <c:extLst>
            <c:ext xmlns:c16="http://schemas.microsoft.com/office/drawing/2014/chart" uri="{C3380CC4-5D6E-409C-BE32-E72D297353CC}">
              <c16:uniqueId val="{00000009-CB5F-44B3-9B17-5F53CF8E9122}"/>
            </c:ext>
          </c:extLst>
        </c:ser>
        <c:dLbls>
          <c:dLblPos val="inEnd"/>
          <c:showLegendKey val="0"/>
          <c:showVal val="1"/>
          <c:showCatName val="0"/>
          <c:showSerName val="0"/>
          <c:showPercent val="0"/>
          <c:showBubbleSize val="0"/>
        </c:dLbls>
        <c:gapWidth val="269"/>
        <c:axId val="1592114079"/>
        <c:axId val="1592115999"/>
      </c:barChart>
      <c:catAx>
        <c:axId val="1592114079"/>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592115999"/>
        <c:crosses val="autoZero"/>
        <c:auto val="1"/>
        <c:lblAlgn val="ctr"/>
        <c:lblOffset val="100"/>
        <c:noMultiLvlLbl val="0"/>
      </c:catAx>
      <c:valAx>
        <c:axId val="159211599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5921140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90332458442695"/>
          <c:y val="0.15009259259259258"/>
          <c:w val="0.62415923009623797"/>
          <c:h val="0.64652996500437443"/>
        </c:manualLayout>
      </c:layout>
      <c:barChart>
        <c:barDir val="bar"/>
        <c:grouping val="clustered"/>
        <c:varyColors val="0"/>
        <c:ser>
          <c:idx val="0"/>
          <c:order val="0"/>
          <c:tx>
            <c:strRef>
              <c:f>Planilha1!$L$66</c:f>
              <c:strCache>
                <c:ptCount val="1"/>
                <c:pt idx="0">
                  <c:v>2023</c:v>
                </c:pt>
              </c:strCache>
            </c:strRef>
          </c:tx>
          <c:spPr>
            <a:solidFill>
              <a:schemeClr val="accent6"/>
            </a:solidFill>
            <a:ln>
              <a:noFill/>
            </a:ln>
            <a:effectLst/>
          </c:spPr>
          <c:invertIfNegative val="0"/>
          <c:dLbls>
            <c:dLbl>
              <c:idx val="0"/>
              <c:layout>
                <c:manualLayout>
                  <c:x val="-1.7500000000000002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F1-411B-8A52-A2DBE25FB16D}"/>
                </c:ext>
              </c:extLst>
            </c:dLbl>
            <c:dLbl>
              <c:idx val="1"/>
              <c:layout>
                <c:manualLayout>
                  <c:x val="1.301137106875624E-3"/>
                  <c:y val="6.00240096038415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F1-411B-8A52-A2DBE25FB16D}"/>
                </c:ext>
              </c:extLst>
            </c:dLbl>
            <c:dLbl>
              <c:idx val="2"/>
              <c:layout>
                <c:manualLayout>
                  <c:x val="-2.2516278330034847E-3"/>
                  <c:y val="1.06318117798300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F1-411B-8A52-A2DBE25FB16D}"/>
                </c:ext>
              </c:extLst>
            </c:dLbl>
            <c:dLbl>
              <c:idx val="3"/>
              <c:layout>
                <c:manualLayout>
                  <c:x val="1.5145740342873062E-3"/>
                  <c:y val="6.00240096038412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F1-411B-8A52-A2DBE25FB16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Planilha1!$K$67:$K$70</c:f>
              <c:strCache>
                <c:ptCount val="4"/>
                <c:pt idx="0">
                  <c:v>Receita de IOF</c:v>
                </c:pt>
                <c:pt idx="1">
                  <c:v>Receita de IPI</c:v>
                </c:pt>
                <c:pt idx="2">
                  <c:v>Receita de II</c:v>
                </c:pt>
                <c:pt idx="3">
                  <c:v>Receita de IE</c:v>
                </c:pt>
              </c:strCache>
            </c:strRef>
          </c:cat>
          <c:val>
            <c:numRef>
              <c:f>Planilha1!$L$67:$L$70</c:f>
              <c:numCache>
                <c:formatCode>_("R$"* #,##0.00_);_("R$"* \(#,##0.00\);_("R$"* "-"??_);_(@_)</c:formatCode>
                <c:ptCount val="4"/>
                <c:pt idx="0">
                  <c:v>66148693937.961494</c:v>
                </c:pt>
                <c:pt idx="1">
                  <c:v>63396378840.882591</c:v>
                </c:pt>
                <c:pt idx="2">
                  <c:v>57941625669.356285</c:v>
                </c:pt>
                <c:pt idx="3">
                  <c:v>4746463019.657424</c:v>
                </c:pt>
              </c:numCache>
            </c:numRef>
          </c:val>
          <c:extLst>
            <c:ext xmlns:c16="http://schemas.microsoft.com/office/drawing/2014/chart" uri="{C3380CC4-5D6E-409C-BE32-E72D297353CC}">
              <c16:uniqueId val="{00000004-9EF1-411B-8A52-A2DBE25FB16D}"/>
            </c:ext>
          </c:extLst>
        </c:ser>
        <c:ser>
          <c:idx val="1"/>
          <c:order val="1"/>
          <c:tx>
            <c:strRef>
              <c:f>Planilha1!$M$66</c:f>
              <c:strCache>
                <c:ptCount val="1"/>
                <c:pt idx="0">
                  <c:v>2024</c:v>
                </c:pt>
              </c:strCache>
            </c:strRef>
          </c:tx>
          <c:spPr>
            <a:solidFill>
              <a:schemeClr val="accent5"/>
            </a:solidFill>
            <a:ln>
              <a:noFill/>
            </a:ln>
            <a:effectLst/>
          </c:spPr>
          <c:invertIfNegative val="0"/>
          <c:dLbls>
            <c:dLbl>
              <c:idx val="0"/>
              <c:layout>
                <c:manualLayout>
                  <c:x val="9.7966420386049803E-4"/>
                  <c:y val="-4.62941081944588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F1-411B-8A52-A2DBE25FB16D}"/>
                </c:ext>
              </c:extLst>
            </c:dLbl>
            <c:dLbl>
              <c:idx val="1"/>
              <c:layout>
                <c:manualLayout>
                  <c:x val="-9.1665573053368327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F1-411B-8A52-A2DBE25FB16D}"/>
                </c:ext>
              </c:extLst>
            </c:dLbl>
            <c:dLbl>
              <c:idx val="2"/>
              <c:layout>
                <c:manualLayout>
                  <c:x val="-9.4913557103318349E-3"/>
                  <c:y val="4.72629996880642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F1-411B-8A52-A2DBE25FB16D}"/>
                </c:ext>
              </c:extLst>
            </c:dLbl>
            <c:dLbl>
              <c:idx val="3"/>
              <c:layout>
                <c:manualLayout>
                  <c:x val="-1.11929133858268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F1-411B-8A52-A2DBE25FB16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Planilha1!$K$67:$K$70</c:f>
              <c:strCache>
                <c:ptCount val="4"/>
                <c:pt idx="0">
                  <c:v>Receita de IOF</c:v>
                </c:pt>
                <c:pt idx="1">
                  <c:v>Receita de IPI</c:v>
                </c:pt>
                <c:pt idx="2">
                  <c:v>Receita de II</c:v>
                </c:pt>
                <c:pt idx="3">
                  <c:v>Receita de IE</c:v>
                </c:pt>
              </c:strCache>
            </c:strRef>
          </c:cat>
          <c:val>
            <c:numRef>
              <c:f>Planilha1!$M$67:$M$70</c:f>
              <c:numCache>
                <c:formatCode>_("R$"* #,##0.00_);_("R$"* \(#,##0.00\);_("R$"* "-"??_);_(@_)</c:formatCode>
                <c:ptCount val="4"/>
                <c:pt idx="0">
                  <c:v>67748469069.260002</c:v>
                </c:pt>
                <c:pt idx="1">
                  <c:v>84373337610.809998</c:v>
                </c:pt>
                <c:pt idx="2">
                  <c:v>77749320306.220001</c:v>
                </c:pt>
                <c:pt idx="3">
                  <c:v>13102186.49</c:v>
                </c:pt>
              </c:numCache>
            </c:numRef>
          </c:val>
          <c:extLst>
            <c:ext xmlns:c16="http://schemas.microsoft.com/office/drawing/2014/chart" uri="{C3380CC4-5D6E-409C-BE32-E72D297353CC}">
              <c16:uniqueId val="{00000009-9EF1-411B-8A52-A2DBE25FB16D}"/>
            </c:ext>
          </c:extLst>
        </c:ser>
        <c:dLbls>
          <c:dLblPos val="inEnd"/>
          <c:showLegendKey val="0"/>
          <c:showVal val="1"/>
          <c:showCatName val="0"/>
          <c:showSerName val="0"/>
          <c:showPercent val="0"/>
          <c:showBubbleSize val="0"/>
        </c:dLbls>
        <c:gapWidth val="269"/>
        <c:axId val="247570031"/>
        <c:axId val="247571471"/>
      </c:barChart>
      <c:catAx>
        <c:axId val="24757003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47571471"/>
        <c:crosses val="autoZero"/>
        <c:auto val="1"/>
        <c:lblAlgn val="ctr"/>
        <c:lblOffset val="100"/>
        <c:noMultiLvlLbl val="0"/>
      </c:catAx>
      <c:valAx>
        <c:axId val="24757147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475700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83FA1-25B7-4995-B284-4F01B392E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3249</Words>
  <Characters>17550</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dc:creator>
  <cp:keywords/>
  <dc:description/>
  <cp:lastModifiedBy>Levi Borges</cp:lastModifiedBy>
  <cp:revision>2</cp:revision>
  <dcterms:created xsi:type="dcterms:W3CDTF">2025-07-06T22:14:00Z</dcterms:created>
  <dcterms:modified xsi:type="dcterms:W3CDTF">2025-07-06T22:14:00Z</dcterms:modified>
</cp:coreProperties>
</file>