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08EC" w14:textId="5F4A3976" w:rsidR="002C00F3" w:rsidRDefault="00C918D1" w:rsidP="002C00F3">
      <w:pPr>
        <w:spacing w:line="360" w:lineRule="auto"/>
        <w:jc w:val="center"/>
        <w:rPr>
          <w:b/>
          <w:sz w:val="24"/>
          <w:szCs w:val="24"/>
        </w:rPr>
      </w:pPr>
      <w:bookmarkStart w:id="0" w:name="_Hlk202264781"/>
      <w:bookmarkEnd w:id="0"/>
      <w:r>
        <w:rPr>
          <w:b/>
          <w:sz w:val="24"/>
          <w:szCs w:val="24"/>
        </w:rPr>
        <w:t xml:space="preserve">A </w:t>
      </w:r>
      <w:r w:rsidR="00B55DEA">
        <w:rPr>
          <w:b/>
          <w:sz w:val="24"/>
          <w:szCs w:val="24"/>
        </w:rPr>
        <w:t>FORMAÇÃO</w:t>
      </w:r>
      <w:r>
        <w:rPr>
          <w:b/>
          <w:sz w:val="24"/>
          <w:szCs w:val="24"/>
        </w:rPr>
        <w:t xml:space="preserve"> DA RECEITA TRIBUTÁRIA ESTADUAL E SEUS EFEITOS NAS CLASSES SOCIAIS NA BAHIA, PERNAMBUCO E CEARÁ EM 2023-2024</w:t>
      </w:r>
    </w:p>
    <w:p w14:paraId="589CFB85" w14:textId="0A072375" w:rsidR="008D5655" w:rsidRDefault="00464F9A" w:rsidP="00247281">
      <w:pPr>
        <w:spacing w:line="240" w:lineRule="auto"/>
        <w:jc w:val="right"/>
        <w:rPr>
          <w:bCs/>
          <w:sz w:val="20"/>
          <w:szCs w:val="20"/>
        </w:rPr>
      </w:pPr>
      <w:r>
        <w:rPr>
          <w:bCs/>
          <w:sz w:val="20"/>
          <w:szCs w:val="20"/>
        </w:rPr>
        <w:t>Rayana Santos Silva</w:t>
      </w:r>
      <w:r w:rsidR="00247281">
        <w:rPr>
          <w:rStyle w:val="Refdenotaderodap"/>
          <w:bCs/>
          <w:sz w:val="20"/>
          <w:szCs w:val="20"/>
        </w:rPr>
        <w:footnoteReference w:id="1"/>
      </w:r>
    </w:p>
    <w:p w14:paraId="3A33BFE0" w14:textId="7B557699" w:rsidR="00464F9A" w:rsidRDefault="00464F9A" w:rsidP="00247281">
      <w:pPr>
        <w:spacing w:line="240" w:lineRule="auto"/>
        <w:jc w:val="right"/>
        <w:rPr>
          <w:bCs/>
          <w:sz w:val="20"/>
          <w:szCs w:val="20"/>
        </w:rPr>
      </w:pPr>
      <w:r>
        <w:rPr>
          <w:bCs/>
          <w:sz w:val="20"/>
          <w:szCs w:val="20"/>
        </w:rPr>
        <w:t>Samuel Hugo Gomes de Lima</w:t>
      </w:r>
      <w:r w:rsidR="00482801">
        <w:rPr>
          <w:rStyle w:val="Refdenotaderodap"/>
          <w:bCs/>
          <w:sz w:val="20"/>
          <w:szCs w:val="20"/>
        </w:rPr>
        <w:footnoteReference w:id="2"/>
      </w:r>
      <w:r>
        <w:rPr>
          <w:bCs/>
          <w:sz w:val="20"/>
          <w:szCs w:val="20"/>
        </w:rPr>
        <w:t xml:space="preserve"> </w:t>
      </w:r>
    </w:p>
    <w:p w14:paraId="02243FFF" w14:textId="221318A6" w:rsidR="00247281" w:rsidRDefault="00247281" w:rsidP="00247281">
      <w:pPr>
        <w:spacing w:line="240" w:lineRule="auto"/>
        <w:jc w:val="right"/>
        <w:rPr>
          <w:bCs/>
          <w:sz w:val="20"/>
          <w:szCs w:val="20"/>
        </w:rPr>
      </w:pPr>
      <w:r>
        <w:rPr>
          <w:bCs/>
          <w:sz w:val="20"/>
          <w:szCs w:val="20"/>
        </w:rPr>
        <w:t>Osmar Gomes de Alencar Júnior</w:t>
      </w:r>
      <w:r w:rsidR="00866A27">
        <w:rPr>
          <w:rStyle w:val="Refdenotaderodap"/>
          <w:bCs/>
          <w:sz w:val="20"/>
          <w:szCs w:val="20"/>
        </w:rPr>
        <w:footnoteReference w:id="3"/>
      </w:r>
    </w:p>
    <w:p w14:paraId="68E6AF84" w14:textId="394BC1E8" w:rsidR="00247281" w:rsidRPr="00464F9A" w:rsidRDefault="00247281" w:rsidP="00247281">
      <w:pPr>
        <w:spacing w:line="240" w:lineRule="auto"/>
        <w:jc w:val="right"/>
        <w:rPr>
          <w:bCs/>
          <w:sz w:val="20"/>
          <w:szCs w:val="20"/>
        </w:rPr>
      </w:pPr>
      <w:r>
        <w:rPr>
          <w:bCs/>
          <w:sz w:val="20"/>
          <w:szCs w:val="20"/>
        </w:rPr>
        <w:t>Fábio Júnior Clemente Gama</w:t>
      </w:r>
      <w:r w:rsidR="008D62FB">
        <w:rPr>
          <w:rStyle w:val="Refdenotaderodap"/>
          <w:bCs/>
          <w:sz w:val="20"/>
          <w:szCs w:val="20"/>
        </w:rPr>
        <w:footnoteReference w:id="4"/>
      </w:r>
    </w:p>
    <w:p w14:paraId="6CD40673" w14:textId="77777777" w:rsidR="008F14B8" w:rsidRPr="00902A15" w:rsidRDefault="000370DE">
      <w:pPr>
        <w:spacing w:line="240" w:lineRule="auto"/>
        <w:ind w:left="2835"/>
        <w:jc w:val="both"/>
        <w:rPr>
          <w:sz w:val="20"/>
          <w:szCs w:val="20"/>
        </w:rPr>
      </w:pPr>
      <w:r w:rsidRPr="00902A15">
        <w:rPr>
          <w:b/>
          <w:sz w:val="20"/>
          <w:szCs w:val="20"/>
        </w:rPr>
        <w:t>Resumo</w:t>
      </w:r>
    </w:p>
    <w:p w14:paraId="638385E6" w14:textId="5818E93F" w:rsidR="00B55DEA" w:rsidRPr="00B55DEA" w:rsidRDefault="00B55DEA" w:rsidP="00844E61">
      <w:pPr>
        <w:spacing w:line="240" w:lineRule="auto"/>
        <w:ind w:left="2835"/>
        <w:jc w:val="both"/>
        <w:rPr>
          <w:sz w:val="20"/>
          <w:szCs w:val="20"/>
        </w:rPr>
      </w:pPr>
      <w:r>
        <w:rPr>
          <w:sz w:val="20"/>
          <w:szCs w:val="20"/>
        </w:rPr>
        <w:t xml:space="preserve">O </w:t>
      </w:r>
      <w:r w:rsidRPr="00B55DEA">
        <w:rPr>
          <w:sz w:val="20"/>
          <w:szCs w:val="20"/>
        </w:rPr>
        <w:t>artigo tem como objetivo analisar a composição da receita tributária e seus efeitos no nível de renda das classes sociais nos estados da Bahia, Ceará e Pernambuco no biênio 2023-2024.</w:t>
      </w:r>
      <w:r w:rsidR="00685F89">
        <w:rPr>
          <w:sz w:val="20"/>
          <w:szCs w:val="20"/>
        </w:rPr>
        <w:t xml:space="preserve"> O</w:t>
      </w:r>
      <w:r>
        <w:rPr>
          <w:sz w:val="20"/>
          <w:szCs w:val="20"/>
        </w:rPr>
        <w:t xml:space="preserve"> artigo parte de uma </w:t>
      </w:r>
      <w:r w:rsidRPr="00B55DEA">
        <w:rPr>
          <w:sz w:val="20"/>
          <w:szCs w:val="20"/>
        </w:rPr>
        <w:t xml:space="preserve">perspectiva teórico-metodológica </w:t>
      </w:r>
      <w:r>
        <w:rPr>
          <w:sz w:val="20"/>
          <w:szCs w:val="20"/>
        </w:rPr>
        <w:t>centrada n</w:t>
      </w:r>
      <w:r w:rsidRPr="00B55DEA">
        <w:rPr>
          <w:sz w:val="20"/>
          <w:szCs w:val="20"/>
        </w:rPr>
        <w:t xml:space="preserve">a economia política crítica, orientada </w:t>
      </w:r>
      <w:r>
        <w:rPr>
          <w:sz w:val="20"/>
          <w:szCs w:val="20"/>
        </w:rPr>
        <w:t xml:space="preserve">por categorias do </w:t>
      </w:r>
      <w:r w:rsidRPr="00B55DEA">
        <w:rPr>
          <w:sz w:val="20"/>
          <w:szCs w:val="20"/>
        </w:rPr>
        <w:t>materialismo histórico-dialético</w:t>
      </w:r>
      <w:r>
        <w:rPr>
          <w:sz w:val="20"/>
          <w:szCs w:val="20"/>
        </w:rPr>
        <w:t>.</w:t>
      </w:r>
      <w:r w:rsidR="00685F89">
        <w:rPr>
          <w:sz w:val="20"/>
          <w:szCs w:val="20"/>
        </w:rPr>
        <w:t xml:space="preserve"> Une-se</w:t>
      </w:r>
      <w:r>
        <w:rPr>
          <w:sz w:val="20"/>
          <w:szCs w:val="20"/>
        </w:rPr>
        <w:t xml:space="preserve"> com uma pesquisa empírica nos balanços gerais dos estados</w:t>
      </w:r>
      <w:r w:rsidR="00531A9E">
        <w:rPr>
          <w:sz w:val="20"/>
          <w:szCs w:val="20"/>
        </w:rPr>
        <w:t xml:space="preserve"> pesquisados</w:t>
      </w:r>
      <w:r>
        <w:rPr>
          <w:sz w:val="20"/>
          <w:szCs w:val="20"/>
        </w:rPr>
        <w:t xml:space="preserve">. </w:t>
      </w:r>
      <w:r>
        <w:rPr>
          <w:bCs/>
          <w:sz w:val="20"/>
          <w:szCs w:val="20"/>
        </w:rPr>
        <w:t>Os</w:t>
      </w:r>
      <w:r w:rsidRPr="00B55DEA">
        <w:rPr>
          <w:bCs/>
          <w:sz w:val="20"/>
          <w:szCs w:val="20"/>
        </w:rPr>
        <w:t xml:space="preserve"> dados </w:t>
      </w:r>
      <w:r>
        <w:rPr>
          <w:bCs/>
          <w:sz w:val="20"/>
          <w:szCs w:val="20"/>
        </w:rPr>
        <w:t xml:space="preserve">empíricos </w:t>
      </w:r>
      <w:r w:rsidRPr="00B55DEA">
        <w:rPr>
          <w:bCs/>
          <w:sz w:val="20"/>
          <w:szCs w:val="20"/>
        </w:rPr>
        <w:t>foram organizados e tabulados em planilhas eletrônicas, deflacionados pelo Indice Geral de Preços-Disponibilidade Interna, desenvolvida pela Fundação Get</w:t>
      </w:r>
      <w:r w:rsidR="00685F89">
        <w:rPr>
          <w:bCs/>
          <w:sz w:val="20"/>
          <w:szCs w:val="20"/>
        </w:rPr>
        <w:t>u</w:t>
      </w:r>
      <w:r w:rsidRPr="00B55DEA">
        <w:rPr>
          <w:bCs/>
          <w:sz w:val="20"/>
          <w:szCs w:val="20"/>
        </w:rPr>
        <w:t xml:space="preserve">lio Vargas, tendo como base o ano de 2024. </w:t>
      </w:r>
      <w:r w:rsidR="00844E61">
        <w:rPr>
          <w:bCs/>
          <w:sz w:val="20"/>
          <w:szCs w:val="20"/>
        </w:rPr>
        <w:t xml:space="preserve">Para a análise do comportamento das variáveis </w:t>
      </w:r>
      <w:r w:rsidR="00844E61" w:rsidRPr="00B55DEA">
        <w:rPr>
          <w:bCs/>
          <w:sz w:val="20"/>
          <w:szCs w:val="20"/>
        </w:rPr>
        <w:t>Receita Orçamentária Total, Receita Tributária, Receita de Impostos Diretos e Indiretos</w:t>
      </w:r>
      <w:r w:rsidR="00844E61">
        <w:rPr>
          <w:bCs/>
          <w:sz w:val="20"/>
          <w:szCs w:val="20"/>
        </w:rPr>
        <w:t xml:space="preserve"> estaduais foi utilizado o método da e</w:t>
      </w:r>
      <w:r w:rsidRPr="00B55DEA">
        <w:rPr>
          <w:bCs/>
          <w:sz w:val="20"/>
          <w:szCs w:val="20"/>
        </w:rPr>
        <w:t>statística descritiva</w:t>
      </w:r>
      <w:r w:rsidR="00844E61">
        <w:rPr>
          <w:bCs/>
          <w:sz w:val="20"/>
          <w:szCs w:val="20"/>
        </w:rPr>
        <w:t xml:space="preserve">. </w:t>
      </w:r>
      <w:r w:rsidR="00685F89">
        <w:rPr>
          <w:bCs/>
          <w:sz w:val="20"/>
          <w:szCs w:val="20"/>
        </w:rPr>
        <w:t>Logo</w:t>
      </w:r>
      <w:r w:rsidR="00844E61">
        <w:rPr>
          <w:bCs/>
          <w:sz w:val="20"/>
          <w:szCs w:val="20"/>
        </w:rPr>
        <w:t>, a pesquisa concluiu que a arrecadação tributária estadual depende majoritariamente dos impostos indiretos, aqueles sobre o consumo, onerando mais a classe dos trabalhadores.</w:t>
      </w:r>
    </w:p>
    <w:p w14:paraId="64724F8D" w14:textId="03BD30EE" w:rsidR="008F14B8" w:rsidRPr="00902A15" w:rsidRDefault="000370DE">
      <w:pPr>
        <w:spacing w:line="240" w:lineRule="auto"/>
        <w:ind w:left="2835"/>
        <w:jc w:val="both"/>
        <w:rPr>
          <w:sz w:val="20"/>
          <w:szCs w:val="20"/>
        </w:rPr>
      </w:pPr>
      <w:r w:rsidRPr="00902A15">
        <w:rPr>
          <w:b/>
          <w:sz w:val="20"/>
          <w:szCs w:val="20"/>
        </w:rPr>
        <w:t>Palavras-chave</w:t>
      </w:r>
      <w:r w:rsidRPr="00902A15">
        <w:rPr>
          <w:sz w:val="20"/>
          <w:szCs w:val="20"/>
        </w:rPr>
        <w:t xml:space="preserve">: </w:t>
      </w:r>
      <w:r w:rsidR="00B55DEA">
        <w:rPr>
          <w:sz w:val="20"/>
          <w:szCs w:val="20"/>
        </w:rPr>
        <w:t>Estado</w:t>
      </w:r>
      <w:r w:rsidRPr="00902A15">
        <w:rPr>
          <w:sz w:val="20"/>
          <w:szCs w:val="20"/>
        </w:rPr>
        <w:t xml:space="preserve">; </w:t>
      </w:r>
      <w:r w:rsidR="00B55DEA">
        <w:rPr>
          <w:sz w:val="20"/>
          <w:szCs w:val="20"/>
        </w:rPr>
        <w:t>Receita Tributária</w:t>
      </w:r>
      <w:r w:rsidRPr="00902A15">
        <w:rPr>
          <w:sz w:val="20"/>
          <w:szCs w:val="20"/>
        </w:rPr>
        <w:t xml:space="preserve">. </w:t>
      </w:r>
      <w:r w:rsidR="00B55DEA">
        <w:rPr>
          <w:sz w:val="20"/>
          <w:szCs w:val="20"/>
        </w:rPr>
        <w:t>Classe Social</w:t>
      </w:r>
      <w:r w:rsidRPr="00902A15">
        <w:rPr>
          <w:sz w:val="20"/>
          <w:szCs w:val="20"/>
        </w:rPr>
        <w:t>.</w:t>
      </w:r>
    </w:p>
    <w:p w14:paraId="1062B6FB" w14:textId="77777777" w:rsidR="008F14B8" w:rsidRPr="00902A15" w:rsidRDefault="008F14B8">
      <w:pPr>
        <w:spacing w:line="240" w:lineRule="auto"/>
        <w:ind w:left="2835"/>
        <w:jc w:val="both"/>
        <w:rPr>
          <w:sz w:val="20"/>
          <w:szCs w:val="20"/>
        </w:rPr>
      </w:pPr>
    </w:p>
    <w:p w14:paraId="36127E18" w14:textId="77777777" w:rsidR="008F14B8" w:rsidRPr="00902A15" w:rsidRDefault="000370DE">
      <w:pPr>
        <w:spacing w:line="240" w:lineRule="auto"/>
        <w:ind w:left="2835"/>
        <w:jc w:val="both"/>
        <w:rPr>
          <w:sz w:val="20"/>
          <w:szCs w:val="20"/>
          <w:lang w:val="en-US"/>
        </w:rPr>
      </w:pPr>
      <w:r w:rsidRPr="00902A15">
        <w:rPr>
          <w:b/>
          <w:sz w:val="20"/>
          <w:szCs w:val="20"/>
          <w:lang w:val="en-US"/>
        </w:rPr>
        <w:t>Abstract</w:t>
      </w:r>
    </w:p>
    <w:p w14:paraId="2F98D65B" w14:textId="5086F7C6" w:rsidR="00685F89" w:rsidRDefault="00685F89">
      <w:pPr>
        <w:spacing w:line="240" w:lineRule="auto"/>
        <w:ind w:left="2835"/>
        <w:jc w:val="both"/>
        <w:rPr>
          <w:sz w:val="20"/>
          <w:szCs w:val="20"/>
        </w:rPr>
      </w:pPr>
      <w:r w:rsidRPr="00685F89">
        <w:rPr>
          <w:sz w:val="20"/>
          <w:szCs w:val="20"/>
        </w:rPr>
        <w:t xml:space="preserve">The article aims to analyze the composition of tax revenue and its effects on the income level of social classes in the states of Bahia, Ceará and Pernambuco in the biennium 2023-2024. The article starts from a theoretical-methodological perspective centered on critical political economy, guided by categories of historical-dialectical materialism. Joins with an empirical research in the general balances of the states surveyed. The empirical data were organized and tabulated in spreadsheets, deflated by the General Index of Internal Prices-Availability, developed by the </w:t>
      </w:r>
      <w:r w:rsidR="0065047A" w:rsidRPr="00B55DEA">
        <w:rPr>
          <w:bCs/>
          <w:sz w:val="20"/>
          <w:szCs w:val="20"/>
        </w:rPr>
        <w:t>Fundação Get</w:t>
      </w:r>
      <w:r w:rsidR="0065047A">
        <w:rPr>
          <w:bCs/>
          <w:sz w:val="20"/>
          <w:szCs w:val="20"/>
        </w:rPr>
        <w:t>u</w:t>
      </w:r>
      <w:r w:rsidR="0065047A" w:rsidRPr="00B55DEA">
        <w:rPr>
          <w:bCs/>
          <w:sz w:val="20"/>
          <w:szCs w:val="20"/>
        </w:rPr>
        <w:t>lio Vargas</w:t>
      </w:r>
      <w:r w:rsidRPr="00685F89">
        <w:rPr>
          <w:sz w:val="20"/>
          <w:szCs w:val="20"/>
        </w:rPr>
        <w:t>, based on the year 2024. For the analysis of the behavior of the variables Total Budget Revenue, Tax Revenue, Direct Taxes and Indirect state income was used the method of descriptive statistics. Therefore, the research concluded that the state tax collection depends mostly on indirect taxes, those on consumption, burdening more the class of workers.</w:t>
      </w:r>
    </w:p>
    <w:p w14:paraId="7FC06A0A" w14:textId="09A5902D" w:rsidR="008F14B8" w:rsidRPr="00902A15" w:rsidRDefault="000370DE">
      <w:pPr>
        <w:spacing w:line="240" w:lineRule="auto"/>
        <w:ind w:left="2835"/>
        <w:jc w:val="both"/>
        <w:rPr>
          <w:sz w:val="20"/>
          <w:szCs w:val="20"/>
        </w:rPr>
      </w:pPr>
      <w:r w:rsidRPr="00902A15">
        <w:rPr>
          <w:b/>
          <w:sz w:val="20"/>
          <w:szCs w:val="20"/>
        </w:rPr>
        <w:t>Keywords</w:t>
      </w:r>
      <w:r w:rsidRPr="00902A15">
        <w:rPr>
          <w:sz w:val="20"/>
          <w:szCs w:val="20"/>
        </w:rPr>
        <w:t xml:space="preserve">: </w:t>
      </w:r>
      <w:r w:rsidR="0006329C" w:rsidRPr="0006329C">
        <w:rPr>
          <w:sz w:val="20"/>
          <w:szCs w:val="20"/>
        </w:rPr>
        <w:t>State; Tax Revenue; Social Class.</w:t>
      </w:r>
    </w:p>
    <w:p w14:paraId="13B0F6C0" w14:textId="77777777" w:rsidR="008F14B8" w:rsidRPr="00902A15" w:rsidRDefault="008F14B8">
      <w:pPr>
        <w:spacing w:line="360" w:lineRule="auto"/>
        <w:jc w:val="both"/>
        <w:rPr>
          <w:sz w:val="24"/>
          <w:szCs w:val="24"/>
        </w:rPr>
      </w:pPr>
    </w:p>
    <w:p w14:paraId="06F6D3A2" w14:textId="77777777" w:rsidR="008F14B8" w:rsidRPr="00902A15" w:rsidRDefault="008F14B8">
      <w:pPr>
        <w:spacing w:line="360" w:lineRule="auto"/>
        <w:jc w:val="both"/>
        <w:rPr>
          <w:sz w:val="24"/>
          <w:szCs w:val="24"/>
        </w:rPr>
      </w:pPr>
    </w:p>
    <w:p w14:paraId="4621A3F3" w14:textId="77777777" w:rsidR="008F14B8" w:rsidRPr="00902A15" w:rsidRDefault="008F14B8">
      <w:pPr>
        <w:spacing w:line="360" w:lineRule="auto"/>
        <w:jc w:val="both"/>
        <w:rPr>
          <w:sz w:val="24"/>
          <w:szCs w:val="24"/>
        </w:rPr>
      </w:pPr>
    </w:p>
    <w:p w14:paraId="139B80AA" w14:textId="6F7C310C" w:rsidR="008F14B8" w:rsidRPr="00961D16" w:rsidRDefault="000370DE">
      <w:pPr>
        <w:spacing w:line="360" w:lineRule="auto"/>
        <w:rPr>
          <w:b/>
          <w:sz w:val="24"/>
          <w:szCs w:val="24"/>
        </w:rPr>
      </w:pPr>
      <w:r w:rsidRPr="00902A15">
        <w:br w:type="page"/>
      </w:r>
      <w:bookmarkStart w:id="1" w:name="_Hlk202142954"/>
      <w:r w:rsidRPr="00961D16">
        <w:rPr>
          <w:b/>
          <w:sz w:val="24"/>
          <w:szCs w:val="24"/>
        </w:rPr>
        <w:lastRenderedPageBreak/>
        <w:t>1</w:t>
      </w:r>
      <w:r w:rsidRPr="00961D16">
        <w:rPr>
          <w:b/>
          <w:sz w:val="24"/>
          <w:szCs w:val="24"/>
        </w:rPr>
        <w:tab/>
        <w:t>I</w:t>
      </w:r>
      <w:r w:rsidR="0065047A">
        <w:rPr>
          <w:b/>
          <w:sz w:val="24"/>
          <w:szCs w:val="24"/>
        </w:rPr>
        <w:t>NTRODUÇÃO</w:t>
      </w:r>
    </w:p>
    <w:p w14:paraId="143AC7E6" w14:textId="739DEE2E" w:rsidR="000370DE" w:rsidRPr="00902A15" w:rsidRDefault="000370DE" w:rsidP="004C33CD">
      <w:pPr>
        <w:spacing w:line="360" w:lineRule="auto"/>
        <w:ind w:firstLine="709"/>
        <w:jc w:val="both"/>
        <w:rPr>
          <w:sz w:val="24"/>
          <w:szCs w:val="24"/>
        </w:rPr>
      </w:pPr>
      <w:r w:rsidRPr="00902A15">
        <w:rPr>
          <w:sz w:val="24"/>
          <w:szCs w:val="24"/>
        </w:rPr>
        <w:t xml:space="preserve">Desde sua origem, o Estado necessita </w:t>
      </w:r>
      <w:r w:rsidR="00D9533B">
        <w:rPr>
          <w:sz w:val="24"/>
          <w:szCs w:val="24"/>
        </w:rPr>
        <w:t>captar</w:t>
      </w:r>
      <w:r w:rsidRPr="00902A15">
        <w:rPr>
          <w:sz w:val="24"/>
          <w:szCs w:val="24"/>
        </w:rPr>
        <w:t xml:space="preserve"> recursos para financiar suas atividades, especialmente políticas públicas que mediam as contradições do capitalismo. Nesse contexto, a principal fonte de arrecadação é a tributação, por meio da qual se retira compulsoriamente parte da renda do trabalho e do capital, constituindo a maior parcela das receitas orçamentárias.</w:t>
      </w:r>
    </w:p>
    <w:p w14:paraId="2E1376EF" w14:textId="77777777" w:rsidR="000370DE" w:rsidRPr="00902A15" w:rsidRDefault="000370DE" w:rsidP="004C33CD">
      <w:pPr>
        <w:spacing w:line="360" w:lineRule="auto"/>
        <w:ind w:firstLine="709"/>
        <w:jc w:val="both"/>
        <w:rPr>
          <w:sz w:val="24"/>
          <w:szCs w:val="24"/>
        </w:rPr>
      </w:pPr>
      <w:r w:rsidRPr="00902A15">
        <w:rPr>
          <w:sz w:val="24"/>
          <w:szCs w:val="24"/>
        </w:rPr>
        <w:t>As receitas públicas, especialmente as de natureza tributária e financeira, compõem o fundo público que sustenta as políticas estatais. Contudo, tanto a política fiscal quanto a estrutura tributária estão longe de serem neutras, uma vez que definem quais classes sociais são mais oneradas no financiamento do Estado e quais são beneficiadas na apropriação dos recursos.</w:t>
      </w:r>
    </w:p>
    <w:p w14:paraId="3BC67808" w14:textId="5C373337" w:rsidR="000370DE" w:rsidRPr="00902A15" w:rsidRDefault="000370DE" w:rsidP="004C33CD">
      <w:pPr>
        <w:spacing w:line="360" w:lineRule="auto"/>
        <w:ind w:firstLine="709"/>
        <w:jc w:val="both"/>
        <w:rPr>
          <w:color w:val="EE0000"/>
          <w:sz w:val="24"/>
          <w:szCs w:val="24"/>
        </w:rPr>
      </w:pPr>
      <w:r w:rsidRPr="00902A15">
        <w:rPr>
          <w:sz w:val="24"/>
          <w:szCs w:val="24"/>
        </w:rPr>
        <w:t xml:space="preserve">Na disputa pela formação </w:t>
      </w:r>
      <w:r w:rsidR="00A77ACE" w:rsidRPr="00902A15">
        <w:rPr>
          <w:sz w:val="24"/>
          <w:szCs w:val="24"/>
        </w:rPr>
        <w:t xml:space="preserve">do </w:t>
      </w:r>
      <w:r w:rsidRPr="00902A15">
        <w:rPr>
          <w:sz w:val="24"/>
          <w:szCs w:val="24"/>
        </w:rPr>
        <w:t>público</w:t>
      </w:r>
      <w:r w:rsidR="00855E4B" w:rsidRPr="00902A15">
        <w:rPr>
          <w:sz w:val="24"/>
          <w:szCs w:val="24"/>
        </w:rPr>
        <w:t xml:space="preserve"> </w:t>
      </w:r>
      <w:r w:rsidR="00A77ACE" w:rsidRPr="00902A15">
        <w:rPr>
          <w:sz w:val="24"/>
          <w:szCs w:val="24"/>
        </w:rPr>
        <w:t xml:space="preserve">federal </w:t>
      </w:r>
      <w:r w:rsidR="00855E4B" w:rsidRPr="00902A15">
        <w:rPr>
          <w:sz w:val="24"/>
          <w:szCs w:val="24"/>
        </w:rPr>
        <w:t>no Brasil</w:t>
      </w:r>
      <w:r w:rsidRPr="00902A15">
        <w:rPr>
          <w:sz w:val="24"/>
          <w:szCs w:val="24"/>
        </w:rPr>
        <w:t xml:space="preserve">, </w:t>
      </w:r>
      <w:r w:rsidR="00B45F93">
        <w:rPr>
          <w:sz w:val="24"/>
          <w:szCs w:val="24"/>
        </w:rPr>
        <w:t xml:space="preserve">os autores de tradição marxistas </w:t>
      </w:r>
      <w:r w:rsidRPr="00902A15">
        <w:rPr>
          <w:sz w:val="24"/>
          <w:szCs w:val="24"/>
        </w:rPr>
        <w:t>evidencia</w:t>
      </w:r>
      <w:r w:rsidR="00B45F93">
        <w:rPr>
          <w:sz w:val="24"/>
          <w:szCs w:val="24"/>
        </w:rPr>
        <w:t>m</w:t>
      </w:r>
      <w:r w:rsidRPr="00902A15">
        <w:rPr>
          <w:sz w:val="24"/>
          <w:szCs w:val="24"/>
        </w:rPr>
        <w:t xml:space="preserve"> a influência política da burguesia, que obtém isenções e benefícios fiscais, enquanto os trabalhadores suportam uma carga tributária regressiva e desproporcional. </w:t>
      </w:r>
    </w:p>
    <w:p w14:paraId="76BAD3E8" w14:textId="2ECA405F" w:rsidR="00013695" w:rsidRPr="00902A15" w:rsidRDefault="00D9533B" w:rsidP="00392FD7">
      <w:pPr>
        <w:spacing w:line="360" w:lineRule="auto"/>
        <w:ind w:firstLine="709"/>
        <w:jc w:val="both"/>
        <w:rPr>
          <w:sz w:val="24"/>
          <w:szCs w:val="24"/>
        </w:rPr>
      </w:pPr>
      <w:r>
        <w:rPr>
          <w:sz w:val="24"/>
          <w:szCs w:val="24"/>
        </w:rPr>
        <w:t>Diante disso</w:t>
      </w:r>
      <w:r w:rsidR="00A77ACE" w:rsidRPr="00902A15">
        <w:rPr>
          <w:sz w:val="24"/>
          <w:szCs w:val="24"/>
        </w:rPr>
        <w:t xml:space="preserve">, se a formação do fundo público federal é influenciada pelos interesses da classe burguesa, como se expressa </w:t>
      </w:r>
      <w:r w:rsidR="00B45F93">
        <w:rPr>
          <w:sz w:val="24"/>
          <w:szCs w:val="24"/>
        </w:rPr>
        <w:t xml:space="preserve">a estrutura </w:t>
      </w:r>
      <w:r w:rsidR="00A77ACE" w:rsidRPr="00902A15">
        <w:rPr>
          <w:sz w:val="24"/>
          <w:szCs w:val="24"/>
        </w:rPr>
        <w:t xml:space="preserve">de arrecadação tributária nos estados nordestinos mais dinâmicos economicamente, isto é, </w:t>
      </w:r>
      <w:r w:rsidR="000370DE" w:rsidRPr="00902A15">
        <w:rPr>
          <w:sz w:val="24"/>
          <w:szCs w:val="24"/>
        </w:rPr>
        <w:t xml:space="preserve">como a </w:t>
      </w:r>
      <w:r w:rsidR="00013695" w:rsidRPr="00902A15">
        <w:rPr>
          <w:sz w:val="24"/>
          <w:szCs w:val="24"/>
        </w:rPr>
        <w:t xml:space="preserve">formação da receita tributária afetou as classes sociais nos estados nordestinos da </w:t>
      </w:r>
      <w:r w:rsidR="000370DE" w:rsidRPr="00902A15">
        <w:rPr>
          <w:sz w:val="24"/>
          <w:szCs w:val="24"/>
        </w:rPr>
        <w:t xml:space="preserve">Bahia, Ceará e Pernambuco no biênio 2023-2024? </w:t>
      </w:r>
    </w:p>
    <w:p w14:paraId="5BC329E8" w14:textId="50317F81" w:rsidR="000370DE" w:rsidRPr="00902A15" w:rsidRDefault="00A77ACE" w:rsidP="00392FD7">
      <w:pPr>
        <w:spacing w:line="360" w:lineRule="auto"/>
        <w:ind w:firstLine="709"/>
        <w:jc w:val="both"/>
        <w:rPr>
          <w:sz w:val="24"/>
          <w:szCs w:val="24"/>
        </w:rPr>
      </w:pPr>
      <w:r w:rsidRPr="00902A15">
        <w:rPr>
          <w:sz w:val="24"/>
          <w:szCs w:val="24"/>
        </w:rPr>
        <w:t>Para responder essa questão, o artigo tem como objetivo geral</w:t>
      </w:r>
      <w:r w:rsidR="000370DE" w:rsidRPr="00902A15">
        <w:rPr>
          <w:sz w:val="24"/>
          <w:szCs w:val="24"/>
        </w:rPr>
        <w:t xml:space="preserve">: analisar </w:t>
      </w:r>
      <w:r w:rsidR="00013695" w:rsidRPr="00902A15">
        <w:rPr>
          <w:sz w:val="24"/>
          <w:szCs w:val="24"/>
        </w:rPr>
        <w:t xml:space="preserve">a composição da receita tributária e seus efeitos no nível de renda das </w:t>
      </w:r>
      <w:r w:rsidR="000370DE" w:rsidRPr="00902A15">
        <w:rPr>
          <w:sz w:val="24"/>
          <w:szCs w:val="24"/>
        </w:rPr>
        <w:t xml:space="preserve">classes </w:t>
      </w:r>
      <w:r w:rsidR="00013695" w:rsidRPr="00902A15">
        <w:rPr>
          <w:sz w:val="24"/>
          <w:szCs w:val="24"/>
        </w:rPr>
        <w:t xml:space="preserve">sociais </w:t>
      </w:r>
      <w:r w:rsidRPr="00902A15">
        <w:rPr>
          <w:sz w:val="24"/>
          <w:szCs w:val="24"/>
        </w:rPr>
        <w:t xml:space="preserve">nos estados </w:t>
      </w:r>
      <w:r w:rsidR="000370DE" w:rsidRPr="00902A15">
        <w:rPr>
          <w:sz w:val="24"/>
          <w:szCs w:val="24"/>
        </w:rPr>
        <w:t xml:space="preserve">da Bahia, Ceará e Pernambuco no biênio 2023-2024. </w:t>
      </w:r>
    </w:p>
    <w:p w14:paraId="688652CE" w14:textId="77777777" w:rsidR="00A94FC2" w:rsidRPr="00902A15" w:rsidRDefault="000370DE" w:rsidP="00392FD7">
      <w:pPr>
        <w:spacing w:line="360" w:lineRule="auto"/>
        <w:ind w:firstLine="709"/>
        <w:jc w:val="both"/>
        <w:rPr>
          <w:sz w:val="24"/>
          <w:szCs w:val="24"/>
        </w:rPr>
      </w:pPr>
      <w:r w:rsidRPr="00902A15">
        <w:rPr>
          <w:sz w:val="24"/>
          <w:szCs w:val="24"/>
        </w:rPr>
        <w:t xml:space="preserve">A investigação fundamenta-se na perspectiva teórico-metodológica da economia política crítica, orientada pelo materialismo histórico-dialético, a partir do qual se compreende o Estado como expressão das relações sociais de produção e da luta de classes, mediando as contradições inerentes ao modo de produção capitalista. </w:t>
      </w:r>
    </w:p>
    <w:p w14:paraId="6E0D4EFE" w14:textId="7923002C" w:rsidR="002D3CE2" w:rsidRPr="002D3CE2" w:rsidRDefault="008C0A75" w:rsidP="002D3CE2">
      <w:pPr>
        <w:spacing w:line="360" w:lineRule="auto"/>
        <w:ind w:firstLine="709"/>
        <w:jc w:val="both"/>
        <w:rPr>
          <w:bCs/>
          <w:sz w:val="24"/>
          <w:szCs w:val="24"/>
        </w:rPr>
      </w:pPr>
      <w:r>
        <w:rPr>
          <w:bCs/>
          <w:sz w:val="24"/>
          <w:szCs w:val="24"/>
        </w:rPr>
        <w:t>Os</w:t>
      </w:r>
      <w:r w:rsidR="002D3CE2" w:rsidRPr="002D3CE2">
        <w:rPr>
          <w:bCs/>
          <w:sz w:val="24"/>
          <w:szCs w:val="24"/>
        </w:rPr>
        <w:t xml:space="preserve"> dados foram organizados e tabulados em planilhas eletrônicas, deflacionados pelo Indice Geral de Preços-Disponibilidade Interna (IGP-DI), desenvolvida pela Fundação Getúlio Vargas (FGV), tendo como base o ano de 2024. Foram analisados a partir do método da estatística descritiva, utilizando uma análise horizontal para verificar o comportamento das variáveis de receita ao longo do biênio: Receita Orçamentária Total (ROT), Receita </w:t>
      </w:r>
      <w:r w:rsidR="00C918D1">
        <w:rPr>
          <w:bCs/>
          <w:sz w:val="24"/>
          <w:szCs w:val="24"/>
        </w:rPr>
        <w:t>Tributária</w:t>
      </w:r>
      <w:r w:rsidR="002D3CE2" w:rsidRPr="002D3CE2">
        <w:rPr>
          <w:bCs/>
          <w:sz w:val="24"/>
          <w:szCs w:val="24"/>
        </w:rPr>
        <w:t xml:space="preserve">, Receita de </w:t>
      </w:r>
      <w:r w:rsidR="00C918D1">
        <w:rPr>
          <w:bCs/>
          <w:sz w:val="24"/>
          <w:szCs w:val="24"/>
        </w:rPr>
        <w:t>Impostos Diretos e Indiretos</w:t>
      </w:r>
      <w:r w:rsidR="002D3CE2" w:rsidRPr="002D3CE2">
        <w:rPr>
          <w:bCs/>
          <w:sz w:val="24"/>
          <w:szCs w:val="24"/>
        </w:rPr>
        <w:t>, suas composições e seus efeitos nas classes sociais.</w:t>
      </w:r>
    </w:p>
    <w:p w14:paraId="2F7F234C" w14:textId="0DBA6572" w:rsidR="002D3CE2" w:rsidRPr="002D3CE2" w:rsidRDefault="002D3CE2" w:rsidP="002D3CE2">
      <w:pPr>
        <w:spacing w:line="360" w:lineRule="auto"/>
        <w:ind w:firstLine="709"/>
        <w:jc w:val="both"/>
        <w:rPr>
          <w:bCs/>
          <w:sz w:val="24"/>
          <w:szCs w:val="24"/>
        </w:rPr>
      </w:pPr>
      <w:r w:rsidRPr="002D3CE2">
        <w:rPr>
          <w:bCs/>
          <w:sz w:val="24"/>
          <w:szCs w:val="24"/>
        </w:rPr>
        <w:t>Este artigo está organizado em seções</w:t>
      </w:r>
      <w:r w:rsidR="00B45F93">
        <w:rPr>
          <w:bCs/>
          <w:sz w:val="24"/>
          <w:szCs w:val="24"/>
        </w:rPr>
        <w:t>, além da introdução e conclusão, a de desenvolvimento, que trata de ba</w:t>
      </w:r>
      <w:r w:rsidRPr="002D3CE2">
        <w:rPr>
          <w:bCs/>
          <w:sz w:val="24"/>
          <w:szCs w:val="24"/>
        </w:rPr>
        <w:t>ses teóricas e empíricas</w:t>
      </w:r>
      <w:r w:rsidR="00B45F93">
        <w:rPr>
          <w:bCs/>
          <w:sz w:val="24"/>
          <w:szCs w:val="24"/>
        </w:rPr>
        <w:t xml:space="preserve">, intituladas em duas subseções: </w:t>
      </w:r>
      <w:r w:rsidRPr="002D3CE2">
        <w:rPr>
          <w:bCs/>
          <w:sz w:val="24"/>
          <w:szCs w:val="24"/>
        </w:rPr>
        <w:t xml:space="preserve">Estado, </w:t>
      </w:r>
      <w:r w:rsidR="00B45F93">
        <w:rPr>
          <w:bCs/>
          <w:sz w:val="24"/>
          <w:szCs w:val="24"/>
        </w:rPr>
        <w:t>f</w:t>
      </w:r>
      <w:r w:rsidRPr="002D3CE2">
        <w:rPr>
          <w:bCs/>
          <w:sz w:val="24"/>
          <w:szCs w:val="24"/>
        </w:rPr>
        <w:t xml:space="preserve">undo </w:t>
      </w:r>
      <w:r w:rsidR="00B45F93">
        <w:rPr>
          <w:bCs/>
          <w:sz w:val="24"/>
          <w:szCs w:val="24"/>
        </w:rPr>
        <w:t>p</w:t>
      </w:r>
      <w:r w:rsidRPr="002D3CE2">
        <w:rPr>
          <w:bCs/>
          <w:sz w:val="24"/>
          <w:szCs w:val="24"/>
        </w:rPr>
        <w:t xml:space="preserve">úblico e </w:t>
      </w:r>
      <w:r w:rsidR="00B45F93">
        <w:rPr>
          <w:bCs/>
          <w:sz w:val="24"/>
          <w:szCs w:val="24"/>
        </w:rPr>
        <w:t>r</w:t>
      </w:r>
      <w:r w:rsidRPr="002D3CE2">
        <w:rPr>
          <w:bCs/>
          <w:sz w:val="24"/>
          <w:szCs w:val="24"/>
        </w:rPr>
        <w:t>eceita pública</w:t>
      </w:r>
      <w:r w:rsidR="00B45F93">
        <w:rPr>
          <w:bCs/>
          <w:sz w:val="24"/>
          <w:szCs w:val="24"/>
        </w:rPr>
        <w:t xml:space="preserve"> e na</w:t>
      </w:r>
      <w:r w:rsidRPr="002D3CE2">
        <w:rPr>
          <w:bCs/>
          <w:sz w:val="24"/>
          <w:szCs w:val="24"/>
        </w:rPr>
        <w:t xml:space="preserve"> </w:t>
      </w:r>
      <w:r w:rsidR="00B45F93">
        <w:rPr>
          <w:bCs/>
          <w:sz w:val="24"/>
          <w:szCs w:val="24"/>
        </w:rPr>
        <w:t>c</w:t>
      </w:r>
      <w:r w:rsidRPr="002D3CE2">
        <w:rPr>
          <w:sz w:val="24"/>
          <w:szCs w:val="24"/>
        </w:rPr>
        <w:t>omposição da receita pública estadual dos estados da Bahia, Ceará e Pernambuco no biênio 2023-2024</w:t>
      </w:r>
      <w:r w:rsidRPr="002D3CE2">
        <w:rPr>
          <w:bCs/>
          <w:sz w:val="24"/>
          <w:szCs w:val="24"/>
        </w:rPr>
        <w:t>.</w:t>
      </w:r>
    </w:p>
    <w:p w14:paraId="4D877546" w14:textId="77777777" w:rsidR="002D3CE2" w:rsidRDefault="002D3CE2" w:rsidP="002C113D">
      <w:pPr>
        <w:spacing w:line="360" w:lineRule="auto"/>
        <w:jc w:val="both"/>
        <w:rPr>
          <w:b/>
          <w:sz w:val="24"/>
          <w:szCs w:val="24"/>
        </w:rPr>
      </w:pPr>
    </w:p>
    <w:p w14:paraId="7E4FD1F7" w14:textId="689F84E3" w:rsidR="00903967" w:rsidRPr="00961D16" w:rsidRDefault="000370DE" w:rsidP="002C113D">
      <w:pPr>
        <w:spacing w:line="360" w:lineRule="auto"/>
        <w:jc w:val="both"/>
        <w:rPr>
          <w:b/>
          <w:sz w:val="24"/>
          <w:szCs w:val="24"/>
        </w:rPr>
      </w:pPr>
      <w:r w:rsidRPr="00961D16">
        <w:rPr>
          <w:b/>
          <w:sz w:val="24"/>
          <w:szCs w:val="24"/>
        </w:rPr>
        <w:t>2</w:t>
      </w:r>
      <w:r w:rsidRPr="00961D16">
        <w:rPr>
          <w:b/>
          <w:sz w:val="24"/>
          <w:szCs w:val="24"/>
        </w:rPr>
        <w:tab/>
      </w:r>
      <w:r w:rsidR="0065047A" w:rsidRPr="00961D16">
        <w:rPr>
          <w:b/>
          <w:sz w:val="24"/>
          <w:szCs w:val="24"/>
        </w:rPr>
        <w:t xml:space="preserve">BASES TEÓRICAS E EMPÍRICAS </w:t>
      </w:r>
    </w:p>
    <w:p w14:paraId="64A19327" w14:textId="045A451D" w:rsidR="002C113D" w:rsidRPr="00961D16" w:rsidRDefault="002C113D" w:rsidP="002C113D">
      <w:pPr>
        <w:spacing w:line="360" w:lineRule="auto"/>
        <w:jc w:val="both"/>
        <w:rPr>
          <w:b/>
          <w:bCs/>
          <w:sz w:val="24"/>
          <w:szCs w:val="24"/>
        </w:rPr>
      </w:pPr>
      <w:r w:rsidRPr="00961D16">
        <w:rPr>
          <w:b/>
          <w:bCs/>
          <w:sz w:val="24"/>
          <w:szCs w:val="24"/>
        </w:rPr>
        <w:t xml:space="preserve">2.1      Estado, </w:t>
      </w:r>
      <w:r w:rsidR="004C33CD" w:rsidRPr="00961D16">
        <w:rPr>
          <w:b/>
          <w:bCs/>
          <w:sz w:val="24"/>
          <w:szCs w:val="24"/>
        </w:rPr>
        <w:t>f</w:t>
      </w:r>
      <w:r w:rsidRPr="00961D16">
        <w:rPr>
          <w:b/>
          <w:bCs/>
          <w:sz w:val="24"/>
          <w:szCs w:val="24"/>
        </w:rPr>
        <w:t xml:space="preserve">undo </w:t>
      </w:r>
      <w:r w:rsidR="004C33CD" w:rsidRPr="00961D16">
        <w:rPr>
          <w:b/>
          <w:bCs/>
          <w:sz w:val="24"/>
          <w:szCs w:val="24"/>
        </w:rPr>
        <w:t>p</w:t>
      </w:r>
      <w:r w:rsidRPr="00961D16">
        <w:rPr>
          <w:b/>
          <w:bCs/>
          <w:sz w:val="24"/>
          <w:szCs w:val="24"/>
        </w:rPr>
        <w:t xml:space="preserve">úblico e </w:t>
      </w:r>
      <w:r w:rsidR="004C33CD" w:rsidRPr="00961D16">
        <w:rPr>
          <w:b/>
          <w:bCs/>
          <w:sz w:val="24"/>
          <w:szCs w:val="24"/>
        </w:rPr>
        <w:t>r</w:t>
      </w:r>
      <w:r w:rsidRPr="00961D16">
        <w:rPr>
          <w:b/>
          <w:bCs/>
          <w:sz w:val="24"/>
          <w:szCs w:val="24"/>
        </w:rPr>
        <w:t>eceita </w:t>
      </w:r>
      <w:r w:rsidR="004C33CD" w:rsidRPr="00961D16">
        <w:rPr>
          <w:b/>
          <w:bCs/>
          <w:sz w:val="24"/>
          <w:szCs w:val="24"/>
        </w:rPr>
        <w:t>p</w:t>
      </w:r>
      <w:r w:rsidRPr="00961D16">
        <w:rPr>
          <w:b/>
          <w:bCs/>
          <w:sz w:val="24"/>
          <w:szCs w:val="24"/>
        </w:rPr>
        <w:t>ública</w:t>
      </w:r>
    </w:p>
    <w:p w14:paraId="5A1CD308" w14:textId="7EA62796" w:rsidR="007B1784" w:rsidRDefault="007B1784" w:rsidP="00392FD7">
      <w:pPr>
        <w:spacing w:line="360" w:lineRule="auto"/>
        <w:ind w:firstLine="709"/>
        <w:jc w:val="both"/>
        <w:rPr>
          <w:bCs/>
          <w:sz w:val="24"/>
          <w:szCs w:val="24"/>
        </w:rPr>
      </w:pPr>
      <w:r w:rsidRPr="007B1784">
        <w:rPr>
          <w:bCs/>
          <w:sz w:val="24"/>
          <w:szCs w:val="24"/>
        </w:rPr>
        <w:t>Na perspectiva marxista, o Estado é compreendido como um instrumento de dominação de classe, cujo principal papel é garantir a manutenção das relações de produção capitalistas (M</w:t>
      </w:r>
      <w:r w:rsidR="001374F7">
        <w:rPr>
          <w:bCs/>
          <w:sz w:val="24"/>
          <w:szCs w:val="24"/>
        </w:rPr>
        <w:t>arx</w:t>
      </w:r>
      <w:r w:rsidRPr="007B1784">
        <w:rPr>
          <w:bCs/>
          <w:sz w:val="24"/>
          <w:szCs w:val="24"/>
        </w:rPr>
        <w:t>, 2015). Longe de ser neutro, ele atua em defesa dos interesses da burguesia, exercendo controle sobre os meios coercitivos e regulatórios para assegurar a reprodução do capital (E</w:t>
      </w:r>
      <w:r w:rsidR="001374F7">
        <w:rPr>
          <w:bCs/>
          <w:sz w:val="24"/>
          <w:szCs w:val="24"/>
        </w:rPr>
        <w:t>ngels</w:t>
      </w:r>
      <w:r w:rsidRPr="007B1784">
        <w:rPr>
          <w:bCs/>
          <w:sz w:val="24"/>
          <w:szCs w:val="24"/>
        </w:rPr>
        <w:t>, 1991). Nessa mesma linha, o Estado é concebido como uma forma institucional que condensa as relações de força entre as classes sociais, funcionando como um espaço de disputa no qual prevalecem os interesses da classe dominante, ainda que mediado por contradições internas e lutas sociais (P</w:t>
      </w:r>
      <w:r w:rsidR="004C33CD">
        <w:rPr>
          <w:bCs/>
          <w:sz w:val="24"/>
          <w:szCs w:val="24"/>
        </w:rPr>
        <w:t>oulantzas</w:t>
      </w:r>
      <w:r w:rsidRPr="007B1784">
        <w:rPr>
          <w:bCs/>
          <w:sz w:val="24"/>
          <w:szCs w:val="24"/>
        </w:rPr>
        <w:t>, 1978).</w:t>
      </w:r>
    </w:p>
    <w:p w14:paraId="0816A767" w14:textId="4AEDBDB1" w:rsidR="00B45F93" w:rsidRPr="004C33CD" w:rsidRDefault="00F67BDE" w:rsidP="00D9533B">
      <w:pPr>
        <w:spacing w:line="360" w:lineRule="auto"/>
        <w:ind w:firstLine="709"/>
        <w:jc w:val="both"/>
        <w:rPr>
          <w:bCs/>
          <w:sz w:val="24"/>
          <w:szCs w:val="24"/>
        </w:rPr>
      </w:pPr>
      <w:r w:rsidRPr="00F67BDE">
        <w:rPr>
          <w:bCs/>
          <w:sz w:val="24"/>
          <w:szCs w:val="24"/>
        </w:rPr>
        <w:t xml:space="preserve">Nesse contexto, o fundo público, conjunto de recursos financeiros geridos pelo Estado para financiar suas ações, emerge como um espaço de disputa de classes, pois sua formação e utilização refletem os interesses </w:t>
      </w:r>
      <w:r w:rsidRPr="004C33CD">
        <w:rPr>
          <w:bCs/>
          <w:sz w:val="24"/>
          <w:szCs w:val="24"/>
        </w:rPr>
        <w:t>conflitantes entre as classes sociais</w:t>
      </w:r>
      <w:r w:rsidR="00B45F93" w:rsidRPr="004C33CD">
        <w:rPr>
          <w:bCs/>
          <w:sz w:val="24"/>
          <w:szCs w:val="24"/>
        </w:rPr>
        <w:t xml:space="preserve"> </w:t>
      </w:r>
      <w:r w:rsidRPr="004C33CD">
        <w:rPr>
          <w:bCs/>
          <w:sz w:val="24"/>
          <w:szCs w:val="24"/>
        </w:rPr>
        <w:t>(P</w:t>
      </w:r>
      <w:r w:rsidR="004C33CD">
        <w:rPr>
          <w:bCs/>
          <w:sz w:val="24"/>
          <w:szCs w:val="24"/>
        </w:rPr>
        <w:t>oulantzas</w:t>
      </w:r>
      <w:r w:rsidRPr="004C33CD">
        <w:rPr>
          <w:bCs/>
          <w:sz w:val="24"/>
          <w:szCs w:val="24"/>
        </w:rPr>
        <w:t>,197</w:t>
      </w:r>
      <w:r w:rsidR="00DF1892" w:rsidRPr="004C33CD">
        <w:rPr>
          <w:bCs/>
          <w:sz w:val="24"/>
          <w:szCs w:val="24"/>
        </w:rPr>
        <w:t>8</w:t>
      </w:r>
      <w:r w:rsidRPr="004C33CD">
        <w:rPr>
          <w:bCs/>
          <w:sz w:val="24"/>
          <w:szCs w:val="24"/>
        </w:rPr>
        <w:t>).</w:t>
      </w:r>
    </w:p>
    <w:p w14:paraId="2EC24783" w14:textId="267EC171" w:rsidR="00F67BDE" w:rsidRPr="00F67BDE" w:rsidRDefault="00F67BDE" w:rsidP="00D9533B">
      <w:pPr>
        <w:spacing w:line="360" w:lineRule="auto"/>
        <w:ind w:firstLine="709"/>
        <w:jc w:val="both"/>
        <w:rPr>
          <w:bCs/>
          <w:sz w:val="24"/>
          <w:szCs w:val="24"/>
        </w:rPr>
      </w:pPr>
      <w:r w:rsidRPr="00F67BDE">
        <w:rPr>
          <w:bCs/>
          <w:sz w:val="24"/>
          <w:szCs w:val="24"/>
        </w:rPr>
        <w:t>Dessa forma, a formação do fundo público reflete a lógica da acumulação capitalista, na qual o Estado intervém para garantir a reprodução ampliada do capital, financiando infraestruturas e serviços que atendem, em última instância, aos interesses da classe dominante (M</w:t>
      </w:r>
      <w:r w:rsidR="008C0A75">
        <w:rPr>
          <w:bCs/>
          <w:sz w:val="24"/>
          <w:szCs w:val="24"/>
        </w:rPr>
        <w:t>andel</w:t>
      </w:r>
      <w:r w:rsidRPr="00F67BDE">
        <w:rPr>
          <w:bCs/>
          <w:sz w:val="24"/>
          <w:szCs w:val="24"/>
        </w:rPr>
        <w:t xml:space="preserve">, </w:t>
      </w:r>
      <w:r w:rsidRPr="00DF1892">
        <w:rPr>
          <w:bCs/>
          <w:sz w:val="24"/>
          <w:szCs w:val="24"/>
        </w:rPr>
        <w:t>1982</w:t>
      </w:r>
      <w:r w:rsidRPr="00F67BDE">
        <w:rPr>
          <w:bCs/>
          <w:sz w:val="24"/>
          <w:szCs w:val="24"/>
        </w:rPr>
        <w:t>).</w:t>
      </w:r>
    </w:p>
    <w:p w14:paraId="6E3E33B2" w14:textId="347182F8" w:rsidR="00F67BDE" w:rsidRPr="00F67BDE" w:rsidRDefault="00F67BDE" w:rsidP="00392FD7">
      <w:pPr>
        <w:spacing w:line="360" w:lineRule="auto"/>
        <w:ind w:firstLine="709"/>
        <w:jc w:val="both"/>
        <w:rPr>
          <w:bCs/>
          <w:sz w:val="24"/>
          <w:szCs w:val="24"/>
        </w:rPr>
      </w:pPr>
      <w:r w:rsidRPr="00F67BDE">
        <w:rPr>
          <w:bCs/>
          <w:sz w:val="24"/>
          <w:szCs w:val="24"/>
        </w:rPr>
        <w:t>Assim, compreender o fundo público sob a ótica crítica implica reconhecer que a receita pública não é uma simples agregação de recursos, mas um campo de luta social onde se manifestam as disputas de poder (</w:t>
      </w:r>
      <w:r w:rsidRPr="001374F7">
        <w:rPr>
          <w:bCs/>
          <w:sz w:val="24"/>
          <w:szCs w:val="24"/>
        </w:rPr>
        <w:t>M</w:t>
      </w:r>
      <w:r w:rsidR="001374F7">
        <w:rPr>
          <w:bCs/>
          <w:sz w:val="24"/>
          <w:szCs w:val="24"/>
        </w:rPr>
        <w:t>észáros</w:t>
      </w:r>
      <w:r w:rsidRPr="001374F7">
        <w:rPr>
          <w:bCs/>
          <w:sz w:val="24"/>
          <w:szCs w:val="24"/>
        </w:rPr>
        <w:t>, 2002).</w:t>
      </w:r>
      <w:r w:rsidRPr="00F67BDE">
        <w:rPr>
          <w:bCs/>
          <w:sz w:val="24"/>
          <w:szCs w:val="24"/>
        </w:rPr>
        <w:t xml:space="preserve"> A forma como as receitas são arrecadadas, distribuídas e investidas impacta diretamente as condições de vida da classe trabalhadora e a capacidade de resistência frente à exploração capitalista (M</w:t>
      </w:r>
      <w:r w:rsidR="001374F7">
        <w:rPr>
          <w:bCs/>
          <w:sz w:val="24"/>
          <w:szCs w:val="24"/>
        </w:rPr>
        <w:t>andel</w:t>
      </w:r>
      <w:r w:rsidRPr="00F67BDE">
        <w:rPr>
          <w:bCs/>
          <w:sz w:val="24"/>
          <w:szCs w:val="24"/>
        </w:rPr>
        <w:t xml:space="preserve">, </w:t>
      </w:r>
      <w:r w:rsidRPr="00E53353">
        <w:rPr>
          <w:bCs/>
          <w:color w:val="000000" w:themeColor="text1"/>
          <w:sz w:val="24"/>
          <w:szCs w:val="24"/>
        </w:rPr>
        <w:t>1982</w:t>
      </w:r>
      <w:r w:rsidRPr="00F67BDE">
        <w:rPr>
          <w:bCs/>
          <w:sz w:val="24"/>
          <w:szCs w:val="24"/>
        </w:rPr>
        <w:t>).</w:t>
      </w:r>
    </w:p>
    <w:p w14:paraId="63521BF6" w14:textId="00D7BE22" w:rsidR="00F67BDE" w:rsidRPr="00F67BDE" w:rsidRDefault="00F67BDE" w:rsidP="00392FD7">
      <w:pPr>
        <w:spacing w:line="360" w:lineRule="auto"/>
        <w:ind w:firstLine="709"/>
        <w:jc w:val="both"/>
        <w:rPr>
          <w:bCs/>
          <w:sz w:val="24"/>
          <w:szCs w:val="24"/>
        </w:rPr>
      </w:pPr>
      <w:r w:rsidRPr="00F67BDE">
        <w:rPr>
          <w:bCs/>
          <w:sz w:val="24"/>
          <w:szCs w:val="24"/>
        </w:rPr>
        <w:t>Portanto, o estudo do Estado e do fundo público a partir do marxismo é fundamental para revelar as contradições inerentes ao capitalismo e para embasar estratégias de transformação social que visem a construção de uma sociedade mais justa e igualitária (</w:t>
      </w:r>
      <w:r w:rsidR="001374F7" w:rsidRPr="001374F7">
        <w:rPr>
          <w:bCs/>
          <w:sz w:val="24"/>
          <w:szCs w:val="24"/>
        </w:rPr>
        <w:t>M</w:t>
      </w:r>
      <w:r w:rsidR="001374F7">
        <w:rPr>
          <w:bCs/>
          <w:sz w:val="24"/>
          <w:szCs w:val="24"/>
        </w:rPr>
        <w:t>észáros</w:t>
      </w:r>
      <w:r w:rsidRPr="00F67BDE">
        <w:rPr>
          <w:bCs/>
          <w:sz w:val="24"/>
          <w:szCs w:val="24"/>
        </w:rPr>
        <w:t xml:space="preserve">, </w:t>
      </w:r>
      <w:r w:rsidRPr="00E53353">
        <w:rPr>
          <w:bCs/>
          <w:color w:val="000000" w:themeColor="text1"/>
          <w:sz w:val="24"/>
          <w:szCs w:val="24"/>
        </w:rPr>
        <w:t>2002</w:t>
      </w:r>
      <w:r w:rsidRPr="00F67BDE">
        <w:rPr>
          <w:bCs/>
          <w:sz w:val="24"/>
          <w:szCs w:val="24"/>
        </w:rPr>
        <w:t>).</w:t>
      </w:r>
    </w:p>
    <w:p w14:paraId="52851370" w14:textId="39704974" w:rsidR="00A94FC2" w:rsidRPr="00D716E7" w:rsidRDefault="00A94FC2" w:rsidP="00D716E7">
      <w:pPr>
        <w:spacing w:line="360" w:lineRule="auto"/>
        <w:ind w:firstLine="709"/>
        <w:jc w:val="both"/>
        <w:rPr>
          <w:bCs/>
          <w:sz w:val="24"/>
          <w:szCs w:val="24"/>
        </w:rPr>
      </w:pPr>
      <w:r w:rsidRPr="00902A15">
        <w:rPr>
          <w:bCs/>
          <w:sz w:val="24"/>
          <w:szCs w:val="24"/>
        </w:rPr>
        <w:t xml:space="preserve">O principal instrumento de </w:t>
      </w:r>
      <w:r w:rsidR="0003594F" w:rsidRPr="00902A15">
        <w:rPr>
          <w:bCs/>
          <w:sz w:val="24"/>
          <w:szCs w:val="24"/>
        </w:rPr>
        <w:t>execuç</w:t>
      </w:r>
      <w:r w:rsidR="002B2EAF" w:rsidRPr="00902A15">
        <w:rPr>
          <w:bCs/>
          <w:sz w:val="24"/>
          <w:szCs w:val="24"/>
        </w:rPr>
        <w:t>ão</w:t>
      </w:r>
      <w:r w:rsidRPr="00902A15">
        <w:rPr>
          <w:bCs/>
          <w:sz w:val="24"/>
          <w:szCs w:val="24"/>
        </w:rPr>
        <w:t xml:space="preserve"> do fundo público é o orçamento público. </w:t>
      </w:r>
      <w:r w:rsidR="00D716E7">
        <w:rPr>
          <w:bCs/>
          <w:sz w:val="24"/>
          <w:szCs w:val="24"/>
        </w:rPr>
        <w:t>É mais do que uma peça técnica, “</w:t>
      </w:r>
      <w:r w:rsidRPr="00D716E7">
        <w:rPr>
          <w:bCs/>
          <w:sz w:val="24"/>
          <w:szCs w:val="24"/>
        </w:rPr>
        <w:t>uma arena de disputa política, na qual o direcionamento dos gastos e suas respectivas fontes de financiamento refletirão, além da decisão econômica, as correlações de forças sociais e políticas hegemônicas na sociedade</w:t>
      </w:r>
      <w:r w:rsidR="00D716E7" w:rsidRPr="00D716E7">
        <w:rPr>
          <w:bCs/>
          <w:sz w:val="24"/>
          <w:szCs w:val="24"/>
        </w:rPr>
        <w:t>”</w:t>
      </w:r>
      <w:r w:rsidR="00D716E7">
        <w:rPr>
          <w:bCs/>
          <w:sz w:val="24"/>
          <w:szCs w:val="24"/>
        </w:rPr>
        <w:t>, conforme</w:t>
      </w:r>
      <w:r w:rsidR="00D716E7" w:rsidRPr="00902A15">
        <w:rPr>
          <w:bCs/>
          <w:sz w:val="24"/>
          <w:szCs w:val="24"/>
        </w:rPr>
        <w:t xml:space="preserve"> Alencar Júnior (2021, p. 126)</w:t>
      </w:r>
      <w:r w:rsidR="00D716E7">
        <w:rPr>
          <w:bCs/>
          <w:sz w:val="24"/>
          <w:szCs w:val="24"/>
        </w:rPr>
        <w:t>.</w:t>
      </w:r>
    </w:p>
    <w:p w14:paraId="51D1647F" w14:textId="685FEA75" w:rsidR="00A94FC2" w:rsidRPr="00E53353" w:rsidRDefault="0003594F" w:rsidP="00B45F93">
      <w:pPr>
        <w:spacing w:line="360" w:lineRule="auto"/>
        <w:ind w:firstLine="709"/>
        <w:jc w:val="both"/>
        <w:rPr>
          <w:bCs/>
          <w:color w:val="000000" w:themeColor="text1"/>
          <w:sz w:val="24"/>
          <w:szCs w:val="24"/>
        </w:rPr>
      </w:pPr>
      <w:r w:rsidRPr="00902A15">
        <w:rPr>
          <w:bCs/>
          <w:sz w:val="24"/>
          <w:szCs w:val="24"/>
        </w:rPr>
        <w:t>Na perspectiva d</w:t>
      </w:r>
      <w:r w:rsidR="00A94FC2" w:rsidRPr="00902A15">
        <w:rPr>
          <w:bCs/>
          <w:sz w:val="24"/>
          <w:szCs w:val="24"/>
        </w:rPr>
        <w:t>a arrecadação estatal</w:t>
      </w:r>
      <w:r w:rsidRPr="00902A15">
        <w:rPr>
          <w:bCs/>
          <w:sz w:val="24"/>
          <w:szCs w:val="24"/>
        </w:rPr>
        <w:t>, a receita pública</w:t>
      </w:r>
      <w:r w:rsidR="00A94FC2" w:rsidRPr="00902A15">
        <w:rPr>
          <w:bCs/>
          <w:sz w:val="24"/>
          <w:szCs w:val="24"/>
        </w:rPr>
        <w:t xml:space="preserve"> não é apenas um mecanismo técnico para financiar políticas públicas, mas um processo político que revela a contradição fundamental entre capital e trabalho</w:t>
      </w:r>
      <w:r w:rsidR="005E19C3" w:rsidRPr="00902A15">
        <w:rPr>
          <w:bCs/>
          <w:sz w:val="24"/>
          <w:szCs w:val="24"/>
        </w:rPr>
        <w:t>, tendo na receita tributária sua principal fonte arrecadatória</w:t>
      </w:r>
      <w:r w:rsidR="00F67BDE" w:rsidRPr="00902A15">
        <w:t xml:space="preserve"> </w:t>
      </w:r>
      <w:r w:rsidR="00F67BDE" w:rsidRPr="00902A15">
        <w:rPr>
          <w:bCs/>
          <w:sz w:val="24"/>
          <w:szCs w:val="24"/>
        </w:rPr>
        <w:t>(</w:t>
      </w:r>
      <w:r w:rsidR="001374F7" w:rsidRPr="001374F7">
        <w:rPr>
          <w:bCs/>
          <w:sz w:val="24"/>
          <w:szCs w:val="24"/>
        </w:rPr>
        <w:t>M</w:t>
      </w:r>
      <w:r w:rsidR="001374F7">
        <w:rPr>
          <w:bCs/>
          <w:sz w:val="24"/>
          <w:szCs w:val="24"/>
        </w:rPr>
        <w:t>észáros</w:t>
      </w:r>
      <w:r w:rsidR="00F67BDE" w:rsidRPr="00E53353">
        <w:rPr>
          <w:bCs/>
          <w:color w:val="000000" w:themeColor="text1"/>
          <w:sz w:val="24"/>
          <w:szCs w:val="24"/>
        </w:rPr>
        <w:t>, 2002).</w:t>
      </w:r>
    </w:p>
    <w:p w14:paraId="291CE200" w14:textId="444C0CC8" w:rsidR="00595FF8" w:rsidRPr="00E53353" w:rsidRDefault="00595FF8" w:rsidP="00392FD7">
      <w:pPr>
        <w:spacing w:line="360" w:lineRule="auto"/>
        <w:ind w:firstLine="709"/>
        <w:jc w:val="both"/>
        <w:rPr>
          <w:bCs/>
          <w:color w:val="000000" w:themeColor="text1"/>
          <w:sz w:val="24"/>
          <w:szCs w:val="24"/>
        </w:rPr>
      </w:pPr>
      <w:r w:rsidRPr="00E53353">
        <w:rPr>
          <w:bCs/>
          <w:color w:val="000000" w:themeColor="text1"/>
          <w:sz w:val="24"/>
          <w:szCs w:val="24"/>
        </w:rPr>
        <w:t xml:space="preserve">A receita </w:t>
      </w:r>
      <w:r w:rsidR="005E19C3" w:rsidRPr="00E53353">
        <w:rPr>
          <w:bCs/>
          <w:color w:val="000000" w:themeColor="text1"/>
          <w:sz w:val="24"/>
          <w:szCs w:val="24"/>
        </w:rPr>
        <w:t xml:space="preserve">tributária </w:t>
      </w:r>
      <w:r w:rsidR="0003594F" w:rsidRPr="00E53353">
        <w:rPr>
          <w:bCs/>
          <w:color w:val="000000" w:themeColor="text1"/>
          <w:sz w:val="24"/>
          <w:szCs w:val="24"/>
        </w:rPr>
        <w:t xml:space="preserve">é </w:t>
      </w:r>
      <w:r w:rsidRPr="00E53353">
        <w:rPr>
          <w:bCs/>
          <w:color w:val="000000" w:themeColor="text1"/>
          <w:sz w:val="24"/>
          <w:szCs w:val="24"/>
        </w:rPr>
        <w:t xml:space="preserve">composta por impostos, taxas e </w:t>
      </w:r>
      <w:r w:rsidR="005E19C3" w:rsidRPr="00E53353">
        <w:rPr>
          <w:bCs/>
          <w:color w:val="000000" w:themeColor="text1"/>
          <w:sz w:val="24"/>
          <w:szCs w:val="24"/>
        </w:rPr>
        <w:t>contribuições de melhoria</w:t>
      </w:r>
      <w:r w:rsidRPr="00E53353">
        <w:rPr>
          <w:bCs/>
          <w:color w:val="000000" w:themeColor="text1"/>
          <w:sz w:val="24"/>
          <w:szCs w:val="24"/>
        </w:rPr>
        <w:t>, base para a constituição d</w:t>
      </w:r>
      <w:r w:rsidR="005E19C3" w:rsidRPr="00E53353">
        <w:rPr>
          <w:bCs/>
          <w:color w:val="000000" w:themeColor="text1"/>
          <w:sz w:val="24"/>
          <w:szCs w:val="24"/>
        </w:rPr>
        <w:t>o</w:t>
      </w:r>
      <w:r w:rsidRPr="00E53353">
        <w:rPr>
          <w:bCs/>
          <w:color w:val="000000" w:themeColor="text1"/>
          <w:sz w:val="24"/>
          <w:szCs w:val="24"/>
        </w:rPr>
        <w:t xml:space="preserve"> fundo</w:t>
      </w:r>
      <w:r w:rsidR="005E19C3" w:rsidRPr="00E53353">
        <w:rPr>
          <w:bCs/>
          <w:color w:val="000000" w:themeColor="text1"/>
          <w:sz w:val="24"/>
          <w:szCs w:val="24"/>
        </w:rPr>
        <w:t xml:space="preserve"> público</w:t>
      </w:r>
      <w:r w:rsidRPr="00E53353">
        <w:rPr>
          <w:bCs/>
          <w:color w:val="000000" w:themeColor="text1"/>
          <w:sz w:val="24"/>
          <w:szCs w:val="24"/>
        </w:rPr>
        <w:t xml:space="preserve"> e representa, portanto, uma apropriação direta da riqueza produzida pela sociedade, especialmente pelo trabalho da classe proletária</w:t>
      </w:r>
      <w:r w:rsidR="00F67BDE" w:rsidRPr="00E53353">
        <w:rPr>
          <w:color w:val="000000" w:themeColor="text1"/>
        </w:rPr>
        <w:t xml:space="preserve"> </w:t>
      </w:r>
      <w:r w:rsidR="00F67BDE" w:rsidRPr="00E53353">
        <w:rPr>
          <w:bCs/>
          <w:color w:val="000000" w:themeColor="text1"/>
          <w:sz w:val="24"/>
          <w:szCs w:val="24"/>
        </w:rPr>
        <w:t>(</w:t>
      </w:r>
      <w:r w:rsidR="00991DCD">
        <w:rPr>
          <w:bCs/>
          <w:color w:val="000000" w:themeColor="text1"/>
          <w:sz w:val="24"/>
          <w:szCs w:val="24"/>
        </w:rPr>
        <w:t>Oliveira, 2009</w:t>
      </w:r>
      <w:r w:rsidR="00F67BDE" w:rsidRPr="00E53353">
        <w:rPr>
          <w:bCs/>
          <w:color w:val="000000" w:themeColor="text1"/>
          <w:sz w:val="24"/>
          <w:szCs w:val="24"/>
        </w:rPr>
        <w:t>).</w:t>
      </w:r>
    </w:p>
    <w:p w14:paraId="2B8DECBB" w14:textId="609304A7" w:rsidR="003079BB" w:rsidRPr="00902A15" w:rsidRDefault="005E19C3" w:rsidP="00392FD7">
      <w:pPr>
        <w:spacing w:line="360" w:lineRule="auto"/>
        <w:ind w:firstLine="709"/>
        <w:jc w:val="both"/>
        <w:rPr>
          <w:bCs/>
          <w:sz w:val="24"/>
          <w:szCs w:val="24"/>
        </w:rPr>
      </w:pPr>
      <w:r w:rsidRPr="00902A15">
        <w:rPr>
          <w:bCs/>
          <w:sz w:val="24"/>
          <w:szCs w:val="24"/>
        </w:rPr>
        <w:t>Os impostos</w:t>
      </w:r>
      <w:r w:rsidR="003079BB" w:rsidRPr="00902A15">
        <w:rPr>
          <w:bCs/>
          <w:sz w:val="24"/>
          <w:szCs w:val="24"/>
        </w:rPr>
        <w:t xml:space="preserve"> “assumem, em função de sua incidência e de seu comportamento em relação ao nível de renda dos contribuintes, três formas: os impostos regressivos, os progressivos e os proporcionais” (Oliveira, 2009, p. 181). Os regressivos mantêm uma relação inversa entre as alíquotas cobradas e o nível de renda dos contribuintes; os progressivos mantém uma relação direta e os proporcionais não alteram a estrutura de distribuição de renda.</w:t>
      </w:r>
    </w:p>
    <w:p w14:paraId="5BE78FB5" w14:textId="42B2713B" w:rsidR="003079BB" w:rsidRPr="00902A15" w:rsidRDefault="003079BB" w:rsidP="00392FD7">
      <w:pPr>
        <w:spacing w:line="360" w:lineRule="auto"/>
        <w:ind w:firstLine="709"/>
        <w:jc w:val="both"/>
        <w:rPr>
          <w:bCs/>
          <w:sz w:val="24"/>
          <w:szCs w:val="24"/>
        </w:rPr>
      </w:pPr>
      <w:r w:rsidRPr="00902A15">
        <w:rPr>
          <w:bCs/>
          <w:sz w:val="24"/>
          <w:szCs w:val="24"/>
        </w:rPr>
        <w:t>Sendo assim, os impostos diretos, aqueles incidentes sobre a renda, riqueza e o patrimônio, se configuram como impostos progressivos. Os impostos indiretos, aqueles incidentes sobre o consumo, a produção e a circulação, são caracterizados como impostos regressivos</w:t>
      </w:r>
      <w:r w:rsidR="00F67BDE" w:rsidRPr="00902A15">
        <w:t xml:space="preserve"> </w:t>
      </w:r>
      <w:r w:rsidR="00F67BDE" w:rsidRPr="00902A15">
        <w:rPr>
          <w:bCs/>
          <w:sz w:val="24"/>
          <w:szCs w:val="24"/>
        </w:rPr>
        <w:t>(</w:t>
      </w:r>
      <w:r w:rsidR="00B45F93">
        <w:rPr>
          <w:bCs/>
          <w:sz w:val="24"/>
          <w:szCs w:val="24"/>
        </w:rPr>
        <w:t>O</w:t>
      </w:r>
      <w:r w:rsidR="001374F7">
        <w:rPr>
          <w:bCs/>
          <w:sz w:val="24"/>
          <w:szCs w:val="24"/>
        </w:rPr>
        <w:t>liveira</w:t>
      </w:r>
      <w:r w:rsidR="00F67BDE" w:rsidRPr="00E53353">
        <w:rPr>
          <w:bCs/>
          <w:color w:val="000000" w:themeColor="text1"/>
          <w:sz w:val="24"/>
          <w:szCs w:val="24"/>
        </w:rPr>
        <w:t xml:space="preserve">, </w:t>
      </w:r>
      <w:r w:rsidR="00B45F93">
        <w:rPr>
          <w:bCs/>
          <w:color w:val="000000" w:themeColor="text1"/>
          <w:sz w:val="24"/>
          <w:szCs w:val="24"/>
        </w:rPr>
        <w:t>2009</w:t>
      </w:r>
      <w:r w:rsidR="00F67BDE" w:rsidRPr="00E53353">
        <w:rPr>
          <w:bCs/>
          <w:color w:val="000000" w:themeColor="text1"/>
          <w:sz w:val="24"/>
          <w:szCs w:val="24"/>
        </w:rPr>
        <w:t>).</w:t>
      </w:r>
    </w:p>
    <w:p w14:paraId="6B2F0321" w14:textId="611667DE" w:rsidR="003079BB" w:rsidRPr="00902A15" w:rsidRDefault="003079BB" w:rsidP="00392FD7">
      <w:pPr>
        <w:spacing w:line="360" w:lineRule="auto"/>
        <w:ind w:firstLine="709"/>
        <w:jc w:val="both"/>
        <w:rPr>
          <w:bCs/>
          <w:sz w:val="24"/>
          <w:szCs w:val="24"/>
        </w:rPr>
      </w:pPr>
      <w:r w:rsidRPr="00902A15">
        <w:rPr>
          <w:bCs/>
          <w:sz w:val="24"/>
          <w:szCs w:val="24"/>
        </w:rPr>
        <w:t>Nos Estados brasileiros, o Imposto de Renda (IR), o Imposto sobre Propriedade de Veículos Automotores (IPVA) e</w:t>
      </w:r>
      <w:r w:rsidR="00B45F93">
        <w:rPr>
          <w:bCs/>
          <w:sz w:val="24"/>
          <w:szCs w:val="24"/>
        </w:rPr>
        <w:t xml:space="preserve"> o</w:t>
      </w:r>
      <w:r w:rsidRPr="00902A15">
        <w:rPr>
          <w:bCs/>
          <w:sz w:val="24"/>
          <w:szCs w:val="24"/>
        </w:rPr>
        <w:t xml:space="preserve"> Imposto de Transmissão Causa Mortis e Doação (ITCMD) são exemplos de impostos diretos, enquanto o Imposto sobre Circulação de Mercadorias e Serviços (ICMS) se constitui </w:t>
      </w:r>
      <w:r w:rsidR="00C66FA6">
        <w:rPr>
          <w:bCs/>
          <w:sz w:val="24"/>
          <w:szCs w:val="24"/>
        </w:rPr>
        <w:t>em um</w:t>
      </w:r>
      <w:r w:rsidRPr="00902A15">
        <w:rPr>
          <w:bCs/>
          <w:sz w:val="24"/>
          <w:szCs w:val="24"/>
        </w:rPr>
        <w:t xml:space="preserve"> imposto indireto.</w:t>
      </w:r>
    </w:p>
    <w:p w14:paraId="7C138921" w14:textId="7ED3B138" w:rsidR="00CE5B49" w:rsidRPr="00CE5B49" w:rsidRDefault="00C66FA6" w:rsidP="00C66FA6">
      <w:pPr>
        <w:spacing w:line="360" w:lineRule="auto"/>
        <w:ind w:firstLine="709"/>
        <w:jc w:val="both"/>
        <w:rPr>
          <w:sz w:val="24"/>
          <w:szCs w:val="24"/>
        </w:rPr>
      </w:pPr>
      <w:r>
        <w:rPr>
          <w:sz w:val="24"/>
          <w:szCs w:val="24"/>
        </w:rPr>
        <w:t>U</w:t>
      </w:r>
      <w:r w:rsidR="00CE5B49" w:rsidRPr="00CE5B49">
        <w:rPr>
          <w:sz w:val="24"/>
          <w:szCs w:val="24"/>
        </w:rPr>
        <w:t>m sistema tributário que privilegia a arrecadação de impostos indiretos onera mais as classes sociais de baixa renda; e aquele que prioriza os impostos diretos, onera mais as classes de alta renda</w:t>
      </w:r>
      <w:r>
        <w:rPr>
          <w:sz w:val="24"/>
          <w:szCs w:val="24"/>
        </w:rPr>
        <w:t>. Portanto, d</w:t>
      </w:r>
      <w:r w:rsidR="00CE5B49" w:rsidRPr="00CE5B49">
        <w:rPr>
          <w:sz w:val="24"/>
          <w:szCs w:val="24"/>
        </w:rPr>
        <w:t xml:space="preserve">iante dessa estrutura tributária federativa brasileira, é fundamental compreender como se compõe a receita pública nos estados. </w:t>
      </w:r>
    </w:p>
    <w:p w14:paraId="015C5ED6" w14:textId="77777777" w:rsidR="004C33CD" w:rsidRDefault="004C33CD">
      <w:pPr>
        <w:spacing w:line="360" w:lineRule="auto"/>
        <w:jc w:val="both"/>
        <w:rPr>
          <w:sz w:val="24"/>
          <w:szCs w:val="24"/>
        </w:rPr>
      </w:pPr>
    </w:p>
    <w:p w14:paraId="76DDCF87" w14:textId="0464ABE6" w:rsidR="008F14B8" w:rsidRPr="00E53353" w:rsidRDefault="00DC6FB7">
      <w:pPr>
        <w:spacing w:line="360" w:lineRule="auto"/>
        <w:jc w:val="both"/>
        <w:rPr>
          <w:bCs/>
          <w:sz w:val="24"/>
          <w:szCs w:val="24"/>
        </w:rPr>
      </w:pPr>
      <w:r w:rsidRPr="0065047A">
        <w:rPr>
          <w:b/>
          <w:bCs/>
          <w:sz w:val="24"/>
          <w:szCs w:val="24"/>
        </w:rPr>
        <w:t>2.</w:t>
      </w:r>
      <w:r w:rsidR="00BC1213" w:rsidRPr="0065047A">
        <w:rPr>
          <w:b/>
          <w:bCs/>
          <w:sz w:val="24"/>
          <w:szCs w:val="24"/>
        </w:rPr>
        <w:t>2</w:t>
      </w:r>
      <w:r w:rsidR="003213E5" w:rsidRPr="00902A15">
        <w:rPr>
          <w:sz w:val="24"/>
          <w:szCs w:val="24"/>
        </w:rPr>
        <w:t xml:space="preserve">     </w:t>
      </w:r>
      <w:r w:rsidR="003213E5" w:rsidRPr="00902A15">
        <w:rPr>
          <w:b/>
          <w:bCs/>
          <w:sz w:val="24"/>
          <w:szCs w:val="24"/>
        </w:rPr>
        <w:t xml:space="preserve"> </w:t>
      </w:r>
      <w:r w:rsidR="002D3CE2" w:rsidRPr="00902A15">
        <w:rPr>
          <w:b/>
          <w:bCs/>
          <w:sz w:val="24"/>
          <w:szCs w:val="24"/>
        </w:rPr>
        <w:t>Composição da receita pública estadual da Bahia, Pernambuco</w:t>
      </w:r>
      <w:r w:rsidR="002D3CE2">
        <w:rPr>
          <w:b/>
          <w:bCs/>
          <w:sz w:val="24"/>
          <w:szCs w:val="24"/>
        </w:rPr>
        <w:t xml:space="preserve"> </w:t>
      </w:r>
      <w:r w:rsidR="00FA1B26">
        <w:rPr>
          <w:b/>
          <w:bCs/>
          <w:sz w:val="24"/>
          <w:szCs w:val="24"/>
        </w:rPr>
        <w:t xml:space="preserve">e </w:t>
      </w:r>
      <w:r w:rsidR="00FA1B26" w:rsidRPr="00902A15">
        <w:rPr>
          <w:b/>
          <w:bCs/>
          <w:sz w:val="24"/>
          <w:szCs w:val="24"/>
        </w:rPr>
        <w:t>Ceará</w:t>
      </w:r>
    </w:p>
    <w:p w14:paraId="206B389D" w14:textId="51D3EF50" w:rsidR="002F63C3" w:rsidRDefault="002F63C3" w:rsidP="002F63C3">
      <w:pPr>
        <w:spacing w:line="360" w:lineRule="auto"/>
        <w:ind w:firstLine="720"/>
        <w:jc w:val="both"/>
        <w:rPr>
          <w:sz w:val="24"/>
          <w:szCs w:val="24"/>
        </w:rPr>
      </w:pPr>
      <w:r w:rsidRPr="00902A15">
        <w:rPr>
          <w:sz w:val="24"/>
          <w:szCs w:val="24"/>
        </w:rPr>
        <w:t xml:space="preserve">O objetivo dessa subseção é apresentar a composição da receita pública e o grau de progressividade/regressividade </w:t>
      </w:r>
      <w:r w:rsidR="00B45F93">
        <w:rPr>
          <w:sz w:val="24"/>
          <w:szCs w:val="24"/>
        </w:rPr>
        <w:t xml:space="preserve">na arrecadação </w:t>
      </w:r>
      <w:r w:rsidR="00961D16">
        <w:rPr>
          <w:sz w:val="24"/>
          <w:szCs w:val="24"/>
        </w:rPr>
        <w:t>tributária</w:t>
      </w:r>
      <w:r w:rsidRPr="00902A15">
        <w:rPr>
          <w:sz w:val="24"/>
          <w:szCs w:val="24"/>
        </w:rPr>
        <w:t xml:space="preserve"> nos estados nordestinos de m</w:t>
      </w:r>
      <w:r w:rsidR="00815A3D" w:rsidRPr="00902A15">
        <w:rPr>
          <w:sz w:val="24"/>
          <w:szCs w:val="24"/>
        </w:rPr>
        <w:t>aior</w:t>
      </w:r>
      <w:r w:rsidRPr="00902A15">
        <w:rPr>
          <w:sz w:val="24"/>
          <w:szCs w:val="24"/>
        </w:rPr>
        <w:t xml:space="preserve"> dinamismo econômico no </w:t>
      </w:r>
      <w:r w:rsidR="00B45F93">
        <w:rPr>
          <w:sz w:val="24"/>
          <w:szCs w:val="24"/>
        </w:rPr>
        <w:t>período</w:t>
      </w:r>
      <w:r w:rsidRPr="00902A15">
        <w:rPr>
          <w:sz w:val="24"/>
          <w:szCs w:val="24"/>
        </w:rPr>
        <w:t xml:space="preserve"> 2023-2024. </w:t>
      </w:r>
    </w:p>
    <w:p w14:paraId="4061F1A0" w14:textId="7BFED030" w:rsidR="00EC6BC9" w:rsidRDefault="00EC6BC9" w:rsidP="002F63C3">
      <w:pPr>
        <w:spacing w:line="360" w:lineRule="auto"/>
        <w:ind w:firstLine="720"/>
        <w:jc w:val="both"/>
        <w:rPr>
          <w:sz w:val="24"/>
          <w:szCs w:val="24"/>
        </w:rPr>
      </w:pPr>
      <w:r w:rsidRPr="00EC6BC9">
        <w:rPr>
          <w:sz w:val="24"/>
          <w:szCs w:val="24"/>
        </w:rPr>
        <w:t>A seleção dos estados da Bahia</w:t>
      </w:r>
      <w:r w:rsidR="001374F7">
        <w:rPr>
          <w:sz w:val="24"/>
          <w:szCs w:val="24"/>
        </w:rPr>
        <w:t xml:space="preserve"> (BA)</w:t>
      </w:r>
      <w:r w:rsidRPr="00EC6BC9">
        <w:rPr>
          <w:sz w:val="24"/>
          <w:szCs w:val="24"/>
        </w:rPr>
        <w:t>, Ceará</w:t>
      </w:r>
      <w:r w:rsidR="001374F7">
        <w:rPr>
          <w:sz w:val="24"/>
          <w:szCs w:val="24"/>
        </w:rPr>
        <w:t xml:space="preserve"> (CE)</w:t>
      </w:r>
      <w:r w:rsidRPr="00EC6BC9">
        <w:rPr>
          <w:sz w:val="24"/>
          <w:szCs w:val="24"/>
        </w:rPr>
        <w:t xml:space="preserve"> e Pernambuco</w:t>
      </w:r>
      <w:r w:rsidR="001374F7">
        <w:rPr>
          <w:sz w:val="24"/>
          <w:szCs w:val="24"/>
        </w:rPr>
        <w:t xml:space="preserve"> (PE)</w:t>
      </w:r>
      <w:r w:rsidRPr="00EC6BC9">
        <w:rPr>
          <w:sz w:val="24"/>
          <w:szCs w:val="24"/>
        </w:rPr>
        <w:t xml:space="preserve"> para esta pesquisa se fundament</w:t>
      </w:r>
      <w:r w:rsidR="00B45F93">
        <w:rPr>
          <w:sz w:val="24"/>
          <w:szCs w:val="24"/>
        </w:rPr>
        <w:t>ou</w:t>
      </w:r>
      <w:r w:rsidRPr="00EC6BC9">
        <w:rPr>
          <w:sz w:val="24"/>
          <w:szCs w:val="24"/>
        </w:rPr>
        <w:t xml:space="preserve"> na análise de Alencar Júnior (2018), que apont</w:t>
      </w:r>
      <w:r w:rsidR="00B45F93">
        <w:rPr>
          <w:sz w:val="24"/>
          <w:szCs w:val="24"/>
        </w:rPr>
        <w:t>ou</w:t>
      </w:r>
      <w:r w:rsidRPr="00EC6BC9">
        <w:rPr>
          <w:sz w:val="24"/>
          <w:szCs w:val="24"/>
        </w:rPr>
        <w:t xml:space="preserve"> esses estados como os de maior dinamismo econômico do Nordeste</w:t>
      </w:r>
      <w:r w:rsidR="00C9080D">
        <w:rPr>
          <w:sz w:val="24"/>
          <w:szCs w:val="24"/>
        </w:rPr>
        <w:t xml:space="preserve">. Nesse sentido, </w:t>
      </w:r>
      <w:r w:rsidR="00FA1B26">
        <w:rPr>
          <w:sz w:val="24"/>
          <w:szCs w:val="24"/>
        </w:rPr>
        <w:t xml:space="preserve">essa subseção </w:t>
      </w:r>
      <w:r w:rsidR="00C9080D">
        <w:rPr>
          <w:sz w:val="24"/>
          <w:szCs w:val="24"/>
        </w:rPr>
        <w:t>busc</w:t>
      </w:r>
      <w:r w:rsidR="00021832">
        <w:rPr>
          <w:sz w:val="24"/>
          <w:szCs w:val="24"/>
        </w:rPr>
        <w:t>ou</w:t>
      </w:r>
      <w:r w:rsidR="00C9080D">
        <w:rPr>
          <w:sz w:val="24"/>
          <w:szCs w:val="24"/>
        </w:rPr>
        <w:t xml:space="preserve"> analisar </w:t>
      </w:r>
      <w:r w:rsidR="00021832">
        <w:rPr>
          <w:sz w:val="24"/>
          <w:szCs w:val="24"/>
        </w:rPr>
        <w:t>como a</w:t>
      </w:r>
      <w:r w:rsidR="00C9080D">
        <w:rPr>
          <w:sz w:val="24"/>
          <w:szCs w:val="24"/>
        </w:rPr>
        <w:t xml:space="preserve"> arrecadação tributária </w:t>
      </w:r>
      <w:r w:rsidR="00021832">
        <w:rPr>
          <w:sz w:val="24"/>
          <w:szCs w:val="24"/>
        </w:rPr>
        <w:t>onerou as classes sociais n</w:t>
      </w:r>
      <w:r w:rsidR="00C9080D">
        <w:rPr>
          <w:sz w:val="24"/>
          <w:szCs w:val="24"/>
        </w:rPr>
        <w:t>os estados nordestinos</w:t>
      </w:r>
      <w:r w:rsidRPr="00EC6BC9">
        <w:rPr>
          <w:sz w:val="24"/>
          <w:szCs w:val="24"/>
        </w:rPr>
        <w:t>.</w:t>
      </w:r>
    </w:p>
    <w:p w14:paraId="19C222F1" w14:textId="48075D29" w:rsidR="00FA1B26" w:rsidRPr="00021832" w:rsidRDefault="00FA1B26" w:rsidP="00FA1B26">
      <w:pPr>
        <w:spacing w:line="360" w:lineRule="auto"/>
        <w:ind w:firstLine="720"/>
        <w:jc w:val="both"/>
        <w:rPr>
          <w:sz w:val="24"/>
          <w:szCs w:val="24"/>
        </w:rPr>
      </w:pPr>
      <w:r w:rsidRPr="00902A15">
        <w:rPr>
          <w:sz w:val="24"/>
          <w:szCs w:val="24"/>
        </w:rPr>
        <w:t xml:space="preserve">O estado da Bahia apresentou uma ROT </w:t>
      </w:r>
      <w:r>
        <w:rPr>
          <w:sz w:val="24"/>
          <w:szCs w:val="24"/>
        </w:rPr>
        <w:t xml:space="preserve">no valor real de </w:t>
      </w:r>
      <w:r w:rsidRPr="00902A15">
        <w:rPr>
          <w:sz w:val="24"/>
          <w:szCs w:val="24"/>
        </w:rPr>
        <w:t xml:space="preserve">R$ </w:t>
      </w:r>
      <w:r>
        <w:rPr>
          <w:sz w:val="24"/>
          <w:szCs w:val="24"/>
        </w:rPr>
        <w:t>76,3</w:t>
      </w:r>
      <w:r w:rsidRPr="00902A15">
        <w:rPr>
          <w:sz w:val="24"/>
          <w:szCs w:val="24"/>
        </w:rPr>
        <w:t xml:space="preserve"> bilhões no ano de 2023</w:t>
      </w:r>
      <w:r>
        <w:rPr>
          <w:sz w:val="24"/>
          <w:szCs w:val="24"/>
        </w:rPr>
        <w:t xml:space="preserve"> e de </w:t>
      </w:r>
      <w:r w:rsidRPr="00902A15">
        <w:rPr>
          <w:sz w:val="24"/>
          <w:szCs w:val="24"/>
        </w:rPr>
        <w:t xml:space="preserve">R$ </w:t>
      </w:r>
      <w:r>
        <w:rPr>
          <w:sz w:val="24"/>
          <w:szCs w:val="24"/>
        </w:rPr>
        <w:t>71,4</w:t>
      </w:r>
      <w:r w:rsidRPr="00902A15">
        <w:rPr>
          <w:sz w:val="24"/>
          <w:szCs w:val="24"/>
        </w:rPr>
        <w:t xml:space="preserve"> bilhões em 2024, </w:t>
      </w:r>
      <w:r>
        <w:rPr>
          <w:sz w:val="24"/>
          <w:szCs w:val="24"/>
        </w:rPr>
        <w:t>apresentando um decréscimo de</w:t>
      </w:r>
      <w:r w:rsidRPr="00902A15">
        <w:rPr>
          <w:sz w:val="24"/>
          <w:szCs w:val="24"/>
        </w:rPr>
        <w:t xml:space="preserve"> </w:t>
      </w:r>
      <w:r>
        <w:rPr>
          <w:sz w:val="24"/>
          <w:szCs w:val="24"/>
        </w:rPr>
        <w:t>6,42</w:t>
      </w:r>
      <w:r w:rsidRPr="00902A15">
        <w:rPr>
          <w:sz w:val="24"/>
          <w:szCs w:val="24"/>
        </w:rPr>
        <w:t>%</w:t>
      </w:r>
      <w:r>
        <w:rPr>
          <w:sz w:val="24"/>
          <w:szCs w:val="24"/>
        </w:rPr>
        <w:t xml:space="preserve">; </w:t>
      </w:r>
      <w:r w:rsidRPr="00902A15">
        <w:rPr>
          <w:sz w:val="24"/>
          <w:szCs w:val="24"/>
        </w:rPr>
        <w:t>Pernambuco passou de</w:t>
      </w:r>
      <w:r>
        <w:rPr>
          <w:sz w:val="24"/>
          <w:szCs w:val="24"/>
        </w:rPr>
        <w:t xml:space="preserve"> </w:t>
      </w:r>
      <w:r w:rsidRPr="00902A15">
        <w:rPr>
          <w:sz w:val="24"/>
          <w:szCs w:val="24"/>
        </w:rPr>
        <w:t>R$ 50</w:t>
      </w:r>
      <w:r>
        <w:rPr>
          <w:sz w:val="24"/>
          <w:szCs w:val="24"/>
        </w:rPr>
        <w:t xml:space="preserve">,5 </w:t>
      </w:r>
      <w:r w:rsidRPr="00902A15">
        <w:rPr>
          <w:sz w:val="24"/>
          <w:szCs w:val="24"/>
        </w:rPr>
        <w:t xml:space="preserve">bilhões em 2023, para R$ </w:t>
      </w:r>
      <w:r>
        <w:rPr>
          <w:sz w:val="24"/>
          <w:szCs w:val="24"/>
        </w:rPr>
        <w:t>46,8</w:t>
      </w:r>
      <w:r w:rsidRPr="00902A15">
        <w:rPr>
          <w:sz w:val="24"/>
          <w:szCs w:val="24"/>
        </w:rPr>
        <w:t xml:space="preserve"> bilhões em 2024</w:t>
      </w:r>
      <w:r w:rsidRPr="00AD5B38">
        <w:rPr>
          <w:sz w:val="24"/>
          <w:szCs w:val="24"/>
        </w:rPr>
        <w:t xml:space="preserve">, </w:t>
      </w:r>
      <w:r>
        <w:rPr>
          <w:sz w:val="24"/>
          <w:szCs w:val="24"/>
        </w:rPr>
        <w:t>uma redução de 7,35</w:t>
      </w:r>
      <w:r w:rsidRPr="00897AD8">
        <w:rPr>
          <w:sz w:val="24"/>
          <w:szCs w:val="24"/>
        </w:rPr>
        <w:t>%</w:t>
      </w:r>
      <w:r>
        <w:rPr>
          <w:sz w:val="24"/>
          <w:szCs w:val="24"/>
        </w:rPr>
        <w:t xml:space="preserve">; e o </w:t>
      </w:r>
      <w:r w:rsidRPr="00977393">
        <w:rPr>
          <w:bCs/>
          <w:color w:val="000000" w:themeColor="text1"/>
          <w:sz w:val="24"/>
          <w:szCs w:val="24"/>
        </w:rPr>
        <w:t xml:space="preserve">Ceará registrou </w:t>
      </w:r>
      <w:r>
        <w:rPr>
          <w:bCs/>
          <w:color w:val="000000" w:themeColor="text1"/>
          <w:sz w:val="24"/>
          <w:szCs w:val="24"/>
        </w:rPr>
        <w:t xml:space="preserve">um montante de </w:t>
      </w:r>
      <w:r w:rsidRPr="00977393">
        <w:rPr>
          <w:bCs/>
          <w:color w:val="000000" w:themeColor="text1"/>
          <w:sz w:val="24"/>
          <w:szCs w:val="24"/>
        </w:rPr>
        <w:t>R$ 37,8 bilhões</w:t>
      </w:r>
      <w:r>
        <w:rPr>
          <w:bCs/>
          <w:color w:val="000000" w:themeColor="text1"/>
          <w:sz w:val="24"/>
          <w:szCs w:val="24"/>
        </w:rPr>
        <w:t xml:space="preserve"> em 2023 e </w:t>
      </w:r>
      <w:r w:rsidRPr="00977393">
        <w:rPr>
          <w:bCs/>
          <w:color w:val="000000" w:themeColor="text1"/>
          <w:sz w:val="24"/>
          <w:szCs w:val="24"/>
        </w:rPr>
        <w:t xml:space="preserve">R$ 39,4 bilhões em 2024, </w:t>
      </w:r>
      <w:r>
        <w:rPr>
          <w:bCs/>
          <w:color w:val="000000" w:themeColor="text1"/>
          <w:sz w:val="24"/>
          <w:szCs w:val="24"/>
        </w:rPr>
        <w:t xml:space="preserve">um crescimento </w:t>
      </w:r>
      <w:r w:rsidRPr="00977393">
        <w:rPr>
          <w:bCs/>
          <w:color w:val="000000" w:themeColor="text1"/>
          <w:sz w:val="24"/>
          <w:szCs w:val="24"/>
        </w:rPr>
        <w:t>real de 4,31%</w:t>
      </w:r>
      <w:r>
        <w:rPr>
          <w:bCs/>
          <w:color w:val="000000" w:themeColor="text1"/>
          <w:sz w:val="24"/>
          <w:szCs w:val="24"/>
        </w:rPr>
        <w:t xml:space="preserve">, </w:t>
      </w:r>
      <w:r w:rsidRPr="00902A15">
        <w:rPr>
          <w:sz w:val="24"/>
          <w:szCs w:val="24"/>
        </w:rPr>
        <w:t>conforme o gráfico 1</w:t>
      </w:r>
      <w:r w:rsidRPr="00977393">
        <w:rPr>
          <w:bCs/>
          <w:color w:val="000000" w:themeColor="text1"/>
          <w:sz w:val="24"/>
          <w:szCs w:val="24"/>
        </w:rPr>
        <w:t>.</w:t>
      </w:r>
      <w:r>
        <w:rPr>
          <w:bCs/>
          <w:color w:val="000000" w:themeColor="text1"/>
          <w:sz w:val="24"/>
          <w:szCs w:val="24"/>
        </w:rPr>
        <w:t xml:space="preserve"> </w:t>
      </w:r>
    </w:p>
    <w:p w14:paraId="7B97450D" w14:textId="77777777" w:rsidR="00B84207" w:rsidRDefault="00B84207" w:rsidP="002F63C3">
      <w:pPr>
        <w:spacing w:line="240" w:lineRule="auto"/>
        <w:jc w:val="center"/>
        <w:rPr>
          <w:b/>
          <w:sz w:val="24"/>
          <w:szCs w:val="24"/>
        </w:rPr>
      </w:pPr>
    </w:p>
    <w:p w14:paraId="4391B1CD" w14:textId="5FC09EC1" w:rsidR="002F63C3" w:rsidRPr="00902A15" w:rsidRDefault="002F63C3" w:rsidP="002F63C3">
      <w:pPr>
        <w:spacing w:line="240" w:lineRule="auto"/>
        <w:jc w:val="center"/>
        <w:rPr>
          <w:sz w:val="24"/>
          <w:szCs w:val="24"/>
        </w:rPr>
      </w:pPr>
      <w:r w:rsidRPr="00961D16">
        <w:rPr>
          <w:b/>
          <w:sz w:val="24"/>
          <w:szCs w:val="24"/>
        </w:rPr>
        <w:t>Gráfico 1</w:t>
      </w:r>
      <w:r w:rsidRPr="00902A15">
        <w:rPr>
          <w:sz w:val="24"/>
          <w:szCs w:val="24"/>
        </w:rPr>
        <w:t xml:space="preserve"> – Evolução da receita orçamentaria</w:t>
      </w:r>
      <w:r w:rsidR="00C1289F">
        <w:rPr>
          <w:sz w:val="24"/>
          <w:szCs w:val="24"/>
        </w:rPr>
        <w:t xml:space="preserve"> d</w:t>
      </w:r>
      <w:r w:rsidR="00B84207">
        <w:rPr>
          <w:sz w:val="24"/>
          <w:szCs w:val="24"/>
        </w:rPr>
        <w:t>a</w:t>
      </w:r>
      <w:r w:rsidR="00C1289F">
        <w:rPr>
          <w:sz w:val="24"/>
          <w:szCs w:val="24"/>
        </w:rPr>
        <w:t xml:space="preserve"> B</w:t>
      </w:r>
      <w:r w:rsidR="00B84207">
        <w:rPr>
          <w:sz w:val="24"/>
          <w:szCs w:val="24"/>
        </w:rPr>
        <w:t>A</w:t>
      </w:r>
      <w:r w:rsidR="00C1289F">
        <w:rPr>
          <w:sz w:val="24"/>
          <w:szCs w:val="24"/>
        </w:rPr>
        <w:t>, C</w:t>
      </w:r>
      <w:r w:rsidR="00B84207">
        <w:rPr>
          <w:sz w:val="24"/>
          <w:szCs w:val="24"/>
        </w:rPr>
        <w:t>E</w:t>
      </w:r>
      <w:r w:rsidR="00C1289F">
        <w:rPr>
          <w:sz w:val="24"/>
          <w:szCs w:val="24"/>
        </w:rPr>
        <w:t xml:space="preserve"> e P</w:t>
      </w:r>
      <w:r w:rsidR="00B84207">
        <w:rPr>
          <w:sz w:val="24"/>
          <w:szCs w:val="24"/>
        </w:rPr>
        <w:t>E em</w:t>
      </w:r>
      <w:r w:rsidR="00C1289F">
        <w:rPr>
          <w:sz w:val="24"/>
          <w:szCs w:val="24"/>
        </w:rPr>
        <w:t xml:space="preserve"> 2023-20</w:t>
      </w:r>
      <w:r w:rsidR="00021832">
        <w:rPr>
          <w:sz w:val="24"/>
          <w:szCs w:val="24"/>
        </w:rPr>
        <w:t>2</w:t>
      </w:r>
      <w:r w:rsidR="00C1289F">
        <w:rPr>
          <w:sz w:val="24"/>
          <w:szCs w:val="24"/>
        </w:rPr>
        <w:t xml:space="preserve">4 </w:t>
      </w:r>
    </w:p>
    <w:p w14:paraId="475ED1C0" w14:textId="47281895" w:rsidR="002F63C3" w:rsidRPr="00902A15" w:rsidRDefault="004C4E10" w:rsidP="002F63C3">
      <w:pPr>
        <w:spacing w:line="360" w:lineRule="auto"/>
        <w:jc w:val="center"/>
      </w:pPr>
      <w:r>
        <w:rPr>
          <w:noProof/>
        </w:rPr>
        <w:drawing>
          <wp:inline distT="0" distB="0" distL="0" distR="0" wp14:anchorId="2C447BEC" wp14:editId="01CC17DA">
            <wp:extent cx="4980853" cy="2276475"/>
            <wp:effectExtent l="0" t="0" r="0" b="0"/>
            <wp:docPr id="8246039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1158" b="3765"/>
                    <a:stretch>
                      <a:fillRect/>
                    </a:stretch>
                  </pic:blipFill>
                  <pic:spPr bwMode="auto">
                    <a:xfrm>
                      <a:off x="0" y="0"/>
                      <a:ext cx="5108230" cy="2334692"/>
                    </a:xfrm>
                    <a:prstGeom prst="rect">
                      <a:avLst/>
                    </a:prstGeom>
                    <a:noFill/>
                    <a:ln>
                      <a:noFill/>
                    </a:ln>
                    <a:extLst>
                      <a:ext uri="{53640926-AAD7-44D8-BBD7-CCE9431645EC}">
                        <a14:shadowObscured xmlns:a14="http://schemas.microsoft.com/office/drawing/2010/main"/>
                      </a:ext>
                    </a:extLst>
                  </pic:spPr>
                </pic:pic>
              </a:graphicData>
            </a:graphic>
          </wp:inline>
        </w:drawing>
      </w:r>
    </w:p>
    <w:p w14:paraId="1BA18925" w14:textId="23A80FBF" w:rsidR="002F63C3" w:rsidRPr="00902A15" w:rsidRDefault="002F63C3" w:rsidP="002F63C3">
      <w:pPr>
        <w:spacing w:line="240" w:lineRule="auto"/>
        <w:jc w:val="center"/>
        <w:rPr>
          <w:sz w:val="20"/>
          <w:szCs w:val="20"/>
        </w:rPr>
      </w:pPr>
      <w:r w:rsidRPr="00961D16">
        <w:rPr>
          <w:bCs/>
          <w:sz w:val="20"/>
          <w:szCs w:val="20"/>
        </w:rPr>
        <w:t xml:space="preserve">Fonte: </w:t>
      </w:r>
      <w:r w:rsidR="006749FC" w:rsidRPr="00961D16">
        <w:rPr>
          <w:bCs/>
          <w:sz w:val="20"/>
          <w:szCs w:val="20"/>
        </w:rPr>
        <w:t>Bahia</w:t>
      </w:r>
      <w:r w:rsidRPr="00902A15">
        <w:rPr>
          <w:sz w:val="20"/>
          <w:szCs w:val="20"/>
        </w:rPr>
        <w:t xml:space="preserve"> (2025), </w:t>
      </w:r>
      <w:r w:rsidR="006749FC" w:rsidRPr="00902A15">
        <w:rPr>
          <w:sz w:val="20"/>
          <w:szCs w:val="20"/>
        </w:rPr>
        <w:t>Ceará</w:t>
      </w:r>
      <w:r w:rsidRPr="00902A15">
        <w:rPr>
          <w:sz w:val="20"/>
          <w:szCs w:val="20"/>
        </w:rPr>
        <w:t xml:space="preserve"> (2025), </w:t>
      </w:r>
      <w:r w:rsidR="006749FC" w:rsidRPr="00902A15">
        <w:rPr>
          <w:sz w:val="20"/>
          <w:szCs w:val="20"/>
        </w:rPr>
        <w:t>Pernambuco</w:t>
      </w:r>
      <w:r w:rsidRPr="00902A15">
        <w:rPr>
          <w:sz w:val="20"/>
          <w:szCs w:val="20"/>
        </w:rPr>
        <w:t xml:space="preserve"> (2025)</w:t>
      </w:r>
    </w:p>
    <w:p w14:paraId="1F17147B" w14:textId="77777777" w:rsidR="002F63C3" w:rsidRPr="00902A15" w:rsidRDefault="002F63C3" w:rsidP="002F63C3">
      <w:pPr>
        <w:spacing w:line="360" w:lineRule="auto"/>
        <w:ind w:firstLine="709"/>
        <w:jc w:val="both"/>
        <w:rPr>
          <w:sz w:val="24"/>
          <w:szCs w:val="24"/>
        </w:rPr>
      </w:pPr>
    </w:p>
    <w:p w14:paraId="11333527" w14:textId="77777777" w:rsidR="00C23AEE" w:rsidRDefault="00977393" w:rsidP="00C23AEE">
      <w:pPr>
        <w:spacing w:line="360" w:lineRule="auto"/>
        <w:ind w:firstLine="851"/>
        <w:jc w:val="both"/>
        <w:rPr>
          <w:bCs/>
          <w:color w:val="000000" w:themeColor="text1"/>
          <w:sz w:val="24"/>
          <w:szCs w:val="24"/>
        </w:rPr>
      </w:pPr>
      <w:r w:rsidRPr="00977393">
        <w:rPr>
          <w:bCs/>
          <w:color w:val="000000" w:themeColor="text1"/>
          <w:sz w:val="24"/>
          <w:szCs w:val="24"/>
        </w:rPr>
        <w:t xml:space="preserve">Durante o biênio analisado, a Bahia </w:t>
      </w:r>
      <w:r w:rsidR="00882B71">
        <w:rPr>
          <w:bCs/>
          <w:color w:val="000000" w:themeColor="text1"/>
          <w:sz w:val="24"/>
          <w:szCs w:val="24"/>
        </w:rPr>
        <w:t>obteve</w:t>
      </w:r>
      <w:r w:rsidRPr="00977393">
        <w:rPr>
          <w:bCs/>
          <w:color w:val="000000" w:themeColor="text1"/>
          <w:sz w:val="24"/>
          <w:szCs w:val="24"/>
        </w:rPr>
        <w:t xml:space="preserve"> o maior volume de </w:t>
      </w:r>
      <w:r w:rsidR="00882B71">
        <w:rPr>
          <w:bCs/>
          <w:color w:val="000000" w:themeColor="text1"/>
          <w:sz w:val="24"/>
          <w:szCs w:val="24"/>
        </w:rPr>
        <w:t>receita total</w:t>
      </w:r>
      <w:r w:rsidRPr="00977393">
        <w:rPr>
          <w:bCs/>
          <w:color w:val="000000" w:themeColor="text1"/>
          <w:sz w:val="24"/>
          <w:szCs w:val="24"/>
        </w:rPr>
        <w:t xml:space="preserve">, enquanto o Ceará </w:t>
      </w:r>
      <w:r w:rsidR="00882B71">
        <w:rPr>
          <w:bCs/>
          <w:color w:val="000000" w:themeColor="text1"/>
          <w:sz w:val="24"/>
          <w:szCs w:val="24"/>
        </w:rPr>
        <w:t>o menor montante</w:t>
      </w:r>
      <w:r w:rsidRPr="00977393">
        <w:rPr>
          <w:bCs/>
          <w:color w:val="000000" w:themeColor="text1"/>
          <w:sz w:val="24"/>
          <w:szCs w:val="24"/>
        </w:rPr>
        <w:t xml:space="preserve">. Entretanto, foi o </w:t>
      </w:r>
      <w:r w:rsidR="00882B71">
        <w:rPr>
          <w:bCs/>
          <w:color w:val="000000" w:themeColor="text1"/>
          <w:sz w:val="24"/>
          <w:szCs w:val="24"/>
        </w:rPr>
        <w:t xml:space="preserve">estado do </w:t>
      </w:r>
      <w:r w:rsidRPr="00977393">
        <w:rPr>
          <w:bCs/>
          <w:color w:val="000000" w:themeColor="text1"/>
          <w:sz w:val="24"/>
          <w:szCs w:val="24"/>
        </w:rPr>
        <w:t xml:space="preserve">Ceará </w:t>
      </w:r>
      <w:r w:rsidR="00673FF6">
        <w:rPr>
          <w:bCs/>
          <w:color w:val="000000" w:themeColor="text1"/>
          <w:sz w:val="24"/>
          <w:szCs w:val="24"/>
        </w:rPr>
        <w:t>o único que</w:t>
      </w:r>
      <w:r w:rsidRPr="00977393">
        <w:rPr>
          <w:bCs/>
          <w:color w:val="000000" w:themeColor="text1"/>
          <w:sz w:val="24"/>
          <w:szCs w:val="24"/>
        </w:rPr>
        <w:t xml:space="preserve"> registrou </w:t>
      </w:r>
      <w:r w:rsidR="00673FF6">
        <w:rPr>
          <w:bCs/>
          <w:color w:val="000000" w:themeColor="text1"/>
          <w:sz w:val="24"/>
          <w:szCs w:val="24"/>
        </w:rPr>
        <w:t xml:space="preserve">crescimento real da </w:t>
      </w:r>
      <w:r w:rsidRPr="00977393">
        <w:rPr>
          <w:bCs/>
          <w:color w:val="000000" w:themeColor="text1"/>
          <w:sz w:val="24"/>
          <w:szCs w:val="24"/>
        </w:rPr>
        <w:t>ROT.</w:t>
      </w:r>
    </w:p>
    <w:p w14:paraId="68A4570E" w14:textId="3D20B61C" w:rsidR="00C23AEE" w:rsidRDefault="00C23AEE" w:rsidP="00C23AEE">
      <w:pPr>
        <w:spacing w:line="360" w:lineRule="auto"/>
        <w:ind w:firstLine="851"/>
        <w:jc w:val="both"/>
        <w:rPr>
          <w:bCs/>
          <w:color w:val="000000" w:themeColor="text1"/>
          <w:sz w:val="24"/>
          <w:szCs w:val="24"/>
        </w:rPr>
      </w:pPr>
      <w:r>
        <w:rPr>
          <w:bCs/>
          <w:color w:val="000000" w:themeColor="text1"/>
          <w:sz w:val="24"/>
          <w:szCs w:val="24"/>
        </w:rPr>
        <w:t>Nesse sentido, a variação da</w:t>
      </w:r>
      <w:r w:rsidR="00977393" w:rsidRPr="00977393">
        <w:rPr>
          <w:bCs/>
          <w:color w:val="000000" w:themeColor="text1"/>
          <w:sz w:val="24"/>
          <w:szCs w:val="24"/>
        </w:rPr>
        <w:t xml:space="preserve"> R</w:t>
      </w:r>
      <w:r>
        <w:rPr>
          <w:bCs/>
          <w:color w:val="000000" w:themeColor="text1"/>
          <w:sz w:val="24"/>
          <w:szCs w:val="24"/>
        </w:rPr>
        <w:t>OT impactou de que forma as receitas tributarias dos estados da Bahia, Pernambuco e Ceará?</w:t>
      </w:r>
    </w:p>
    <w:p w14:paraId="695D9CE4" w14:textId="259CC674" w:rsidR="002F63C3" w:rsidRPr="00623B7C" w:rsidRDefault="00217AED" w:rsidP="00623B7C">
      <w:pPr>
        <w:spacing w:line="240" w:lineRule="auto"/>
        <w:ind w:left="720" w:hanging="720"/>
        <w:jc w:val="center"/>
        <w:rPr>
          <w:color w:val="000000" w:themeColor="text1"/>
          <w:sz w:val="24"/>
          <w:szCs w:val="24"/>
        </w:rPr>
      </w:pPr>
      <w:r w:rsidRPr="00961D16">
        <w:rPr>
          <w:b/>
          <w:color w:val="000000" w:themeColor="text1"/>
          <w:sz w:val="24"/>
          <w:szCs w:val="24"/>
        </w:rPr>
        <w:t>Gráfico</w:t>
      </w:r>
      <w:r w:rsidR="002F63C3" w:rsidRPr="00961D16">
        <w:rPr>
          <w:b/>
          <w:color w:val="000000" w:themeColor="text1"/>
          <w:sz w:val="24"/>
          <w:szCs w:val="24"/>
        </w:rPr>
        <w:t xml:space="preserve"> 2</w:t>
      </w:r>
      <w:r w:rsidR="002F63C3" w:rsidRPr="001374F7">
        <w:rPr>
          <w:bCs/>
          <w:color w:val="000000" w:themeColor="text1"/>
          <w:sz w:val="24"/>
          <w:szCs w:val="24"/>
        </w:rPr>
        <w:t xml:space="preserve"> – Evolução </w:t>
      </w:r>
      <w:r w:rsidR="00C1289F" w:rsidRPr="001374F7">
        <w:rPr>
          <w:bCs/>
          <w:color w:val="000000" w:themeColor="text1"/>
          <w:sz w:val="24"/>
          <w:szCs w:val="24"/>
        </w:rPr>
        <w:t xml:space="preserve">da receita </w:t>
      </w:r>
      <w:r w:rsidR="00B84207">
        <w:rPr>
          <w:bCs/>
          <w:color w:val="000000" w:themeColor="text1"/>
          <w:sz w:val="24"/>
          <w:szCs w:val="24"/>
        </w:rPr>
        <w:t>t</w:t>
      </w:r>
      <w:r w:rsidR="00623B7C" w:rsidRPr="001374F7">
        <w:rPr>
          <w:bCs/>
          <w:color w:val="000000" w:themeColor="text1"/>
          <w:sz w:val="24"/>
          <w:szCs w:val="24"/>
        </w:rPr>
        <w:t>ribut</w:t>
      </w:r>
      <w:r w:rsidR="00F75F00" w:rsidRPr="001374F7">
        <w:rPr>
          <w:bCs/>
          <w:color w:val="000000" w:themeColor="text1"/>
          <w:sz w:val="24"/>
          <w:szCs w:val="24"/>
        </w:rPr>
        <w:t>á</w:t>
      </w:r>
      <w:r w:rsidR="00623B7C" w:rsidRPr="001374F7">
        <w:rPr>
          <w:bCs/>
          <w:color w:val="000000" w:themeColor="text1"/>
          <w:sz w:val="24"/>
          <w:szCs w:val="24"/>
        </w:rPr>
        <w:t>ria d</w:t>
      </w:r>
      <w:r w:rsidR="00B84207">
        <w:rPr>
          <w:bCs/>
          <w:color w:val="000000" w:themeColor="text1"/>
          <w:sz w:val="24"/>
          <w:szCs w:val="24"/>
        </w:rPr>
        <w:t>a</w:t>
      </w:r>
      <w:r w:rsidR="00F7133C" w:rsidRPr="001374F7">
        <w:rPr>
          <w:bCs/>
          <w:color w:val="000000" w:themeColor="text1"/>
          <w:sz w:val="24"/>
          <w:szCs w:val="24"/>
        </w:rPr>
        <w:t xml:space="preserve"> B</w:t>
      </w:r>
      <w:r w:rsidR="00B84207">
        <w:rPr>
          <w:bCs/>
          <w:color w:val="000000" w:themeColor="text1"/>
          <w:sz w:val="24"/>
          <w:szCs w:val="24"/>
        </w:rPr>
        <w:t>A,</w:t>
      </w:r>
      <w:r w:rsidR="00F7133C" w:rsidRPr="001374F7">
        <w:rPr>
          <w:bCs/>
          <w:color w:val="000000" w:themeColor="text1"/>
          <w:sz w:val="24"/>
          <w:szCs w:val="24"/>
        </w:rPr>
        <w:t xml:space="preserve"> </w:t>
      </w:r>
      <w:r w:rsidR="00B84207">
        <w:rPr>
          <w:bCs/>
          <w:color w:val="000000" w:themeColor="text1"/>
          <w:sz w:val="24"/>
          <w:szCs w:val="24"/>
        </w:rPr>
        <w:t>CE</w:t>
      </w:r>
      <w:r w:rsidR="00F7133C" w:rsidRPr="001374F7">
        <w:rPr>
          <w:bCs/>
          <w:color w:val="000000" w:themeColor="text1"/>
          <w:sz w:val="24"/>
          <w:szCs w:val="24"/>
        </w:rPr>
        <w:t xml:space="preserve"> e</w:t>
      </w:r>
      <w:r w:rsidR="00F7133C">
        <w:rPr>
          <w:color w:val="000000" w:themeColor="text1"/>
          <w:sz w:val="24"/>
          <w:szCs w:val="24"/>
        </w:rPr>
        <w:t xml:space="preserve"> P</w:t>
      </w:r>
      <w:r w:rsidR="00B84207">
        <w:rPr>
          <w:color w:val="000000" w:themeColor="text1"/>
          <w:sz w:val="24"/>
          <w:szCs w:val="24"/>
        </w:rPr>
        <w:t>E em 2023-2024</w:t>
      </w:r>
    </w:p>
    <w:p w14:paraId="605B5C8D" w14:textId="00D92799" w:rsidR="004C4E10" w:rsidRDefault="004C4E10" w:rsidP="002F63C3">
      <w:pPr>
        <w:spacing w:line="240" w:lineRule="auto"/>
        <w:jc w:val="center"/>
        <w:rPr>
          <w:color w:val="EE0000"/>
          <w:sz w:val="24"/>
          <w:szCs w:val="24"/>
        </w:rPr>
      </w:pPr>
      <w:r>
        <w:rPr>
          <w:noProof/>
        </w:rPr>
        <w:drawing>
          <wp:inline distT="0" distB="0" distL="0" distR="0" wp14:anchorId="66EBB46C" wp14:editId="576015F0">
            <wp:extent cx="3530600" cy="2153626"/>
            <wp:effectExtent l="0" t="0" r="0" b="0"/>
            <wp:docPr id="89142263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5474" b="1453"/>
                    <a:stretch>
                      <a:fillRect/>
                    </a:stretch>
                  </pic:blipFill>
                  <pic:spPr bwMode="auto">
                    <a:xfrm>
                      <a:off x="0" y="0"/>
                      <a:ext cx="3564488" cy="2174297"/>
                    </a:xfrm>
                    <a:prstGeom prst="rect">
                      <a:avLst/>
                    </a:prstGeom>
                    <a:noFill/>
                    <a:ln>
                      <a:noFill/>
                    </a:ln>
                    <a:extLst>
                      <a:ext uri="{53640926-AAD7-44D8-BBD7-CCE9431645EC}">
                        <a14:shadowObscured xmlns:a14="http://schemas.microsoft.com/office/drawing/2010/main"/>
                      </a:ext>
                    </a:extLst>
                  </pic:spPr>
                </pic:pic>
              </a:graphicData>
            </a:graphic>
          </wp:inline>
        </w:drawing>
      </w:r>
    </w:p>
    <w:p w14:paraId="6D969641" w14:textId="35BD4554" w:rsidR="003A4158" w:rsidRPr="00902A15" w:rsidRDefault="003A4158" w:rsidP="00B00FF3">
      <w:pPr>
        <w:spacing w:line="240" w:lineRule="auto"/>
        <w:jc w:val="center"/>
        <w:rPr>
          <w:sz w:val="20"/>
          <w:szCs w:val="20"/>
        </w:rPr>
      </w:pPr>
      <w:r w:rsidRPr="003A4158">
        <w:rPr>
          <w:bCs/>
          <w:sz w:val="20"/>
          <w:szCs w:val="20"/>
        </w:rPr>
        <w:t>Fonte:</w:t>
      </w:r>
      <w:r w:rsidRPr="00902A15">
        <w:rPr>
          <w:sz w:val="20"/>
          <w:szCs w:val="20"/>
        </w:rPr>
        <w:t xml:space="preserve"> Bahia (2025), Ceará (2025), Pernambuco (2025)</w:t>
      </w:r>
    </w:p>
    <w:p w14:paraId="3B8C66B3" w14:textId="450F1FB8" w:rsidR="003A4158" w:rsidRPr="003A4158" w:rsidRDefault="003A4158" w:rsidP="00977393">
      <w:pPr>
        <w:spacing w:line="360" w:lineRule="auto"/>
        <w:ind w:firstLine="709"/>
        <w:jc w:val="both"/>
        <w:rPr>
          <w:bCs/>
          <w:sz w:val="20"/>
          <w:szCs w:val="20"/>
        </w:rPr>
      </w:pPr>
    </w:p>
    <w:p w14:paraId="2A59ED0F" w14:textId="77777777" w:rsidR="00B84207" w:rsidRDefault="00B84207" w:rsidP="00B84207">
      <w:pPr>
        <w:spacing w:line="360" w:lineRule="auto"/>
        <w:ind w:firstLine="851"/>
        <w:jc w:val="both"/>
        <w:rPr>
          <w:bCs/>
          <w:sz w:val="24"/>
          <w:szCs w:val="24"/>
        </w:rPr>
      </w:pPr>
      <w:r>
        <w:rPr>
          <w:bCs/>
          <w:color w:val="000000" w:themeColor="text1"/>
          <w:sz w:val="24"/>
          <w:szCs w:val="24"/>
        </w:rPr>
        <w:t xml:space="preserve">O estado da </w:t>
      </w:r>
      <w:r w:rsidRPr="00977393">
        <w:rPr>
          <w:bCs/>
          <w:sz w:val="24"/>
          <w:szCs w:val="24"/>
        </w:rPr>
        <w:t xml:space="preserve">Bahia </w:t>
      </w:r>
      <w:r>
        <w:rPr>
          <w:bCs/>
          <w:sz w:val="24"/>
          <w:szCs w:val="24"/>
        </w:rPr>
        <w:t xml:space="preserve">arrecadou um montante de tributos no valor de </w:t>
      </w:r>
      <w:r w:rsidRPr="00977393">
        <w:rPr>
          <w:bCs/>
          <w:sz w:val="24"/>
          <w:szCs w:val="24"/>
        </w:rPr>
        <w:t xml:space="preserve">R$ 39,9 bilhões em 2023 </w:t>
      </w:r>
      <w:r>
        <w:rPr>
          <w:bCs/>
          <w:sz w:val="24"/>
          <w:szCs w:val="24"/>
        </w:rPr>
        <w:t xml:space="preserve">e </w:t>
      </w:r>
      <w:r w:rsidRPr="00977393">
        <w:rPr>
          <w:bCs/>
          <w:sz w:val="24"/>
          <w:szCs w:val="24"/>
        </w:rPr>
        <w:t>R$ 31,6 bilhões em 2024</w:t>
      </w:r>
      <w:r>
        <w:rPr>
          <w:bCs/>
          <w:sz w:val="24"/>
          <w:szCs w:val="24"/>
        </w:rPr>
        <w:t xml:space="preserve">, </w:t>
      </w:r>
      <w:r w:rsidRPr="00977393">
        <w:rPr>
          <w:bCs/>
          <w:sz w:val="24"/>
          <w:szCs w:val="24"/>
        </w:rPr>
        <w:t xml:space="preserve">uma redução </w:t>
      </w:r>
      <w:r>
        <w:rPr>
          <w:bCs/>
          <w:sz w:val="24"/>
          <w:szCs w:val="24"/>
        </w:rPr>
        <w:t xml:space="preserve">de </w:t>
      </w:r>
      <w:r w:rsidRPr="00977393">
        <w:rPr>
          <w:bCs/>
          <w:sz w:val="24"/>
          <w:szCs w:val="24"/>
        </w:rPr>
        <w:t>20,85%</w:t>
      </w:r>
      <w:r>
        <w:rPr>
          <w:bCs/>
          <w:sz w:val="24"/>
          <w:szCs w:val="24"/>
        </w:rPr>
        <w:t xml:space="preserve"> na arrecadação tributária; </w:t>
      </w:r>
      <w:r w:rsidRPr="00977393">
        <w:rPr>
          <w:bCs/>
          <w:sz w:val="24"/>
          <w:szCs w:val="24"/>
        </w:rPr>
        <w:t xml:space="preserve">Pernambuco </w:t>
      </w:r>
      <w:r>
        <w:rPr>
          <w:bCs/>
          <w:sz w:val="24"/>
          <w:szCs w:val="24"/>
        </w:rPr>
        <w:t xml:space="preserve">obteve receita tributária de </w:t>
      </w:r>
      <w:r w:rsidRPr="00977393">
        <w:rPr>
          <w:bCs/>
          <w:sz w:val="24"/>
          <w:szCs w:val="24"/>
        </w:rPr>
        <w:t xml:space="preserve">R$ 25,9 bilhões em 2023 </w:t>
      </w:r>
      <w:r>
        <w:rPr>
          <w:bCs/>
          <w:sz w:val="24"/>
          <w:szCs w:val="24"/>
        </w:rPr>
        <w:t xml:space="preserve">e </w:t>
      </w:r>
      <w:r w:rsidRPr="00977393">
        <w:rPr>
          <w:bCs/>
          <w:sz w:val="24"/>
          <w:szCs w:val="24"/>
        </w:rPr>
        <w:t>R$ 21,0 bilhões em 2024</w:t>
      </w:r>
      <w:r>
        <w:rPr>
          <w:bCs/>
          <w:sz w:val="24"/>
          <w:szCs w:val="24"/>
        </w:rPr>
        <w:t xml:space="preserve">, </w:t>
      </w:r>
      <w:r w:rsidRPr="00977393">
        <w:rPr>
          <w:bCs/>
          <w:sz w:val="24"/>
          <w:szCs w:val="24"/>
        </w:rPr>
        <w:t>um</w:t>
      </w:r>
      <w:r>
        <w:rPr>
          <w:bCs/>
          <w:sz w:val="24"/>
          <w:szCs w:val="24"/>
        </w:rPr>
        <w:t xml:space="preserve"> decréscimo de</w:t>
      </w:r>
      <w:r w:rsidRPr="00977393">
        <w:rPr>
          <w:bCs/>
          <w:sz w:val="24"/>
          <w:szCs w:val="24"/>
        </w:rPr>
        <w:t xml:space="preserve"> 18,82%</w:t>
      </w:r>
      <w:r>
        <w:rPr>
          <w:bCs/>
          <w:sz w:val="24"/>
          <w:szCs w:val="24"/>
        </w:rPr>
        <w:t xml:space="preserve"> na arrecadação tributária; o </w:t>
      </w:r>
      <w:r w:rsidRPr="00977393">
        <w:rPr>
          <w:bCs/>
          <w:sz w:val="24"/>
          <w:szCs w:val="24"/>
        </w:rPr>
        <w:t xml:space="preserve">Ceará </w:t>
      </w:r>
      <w:r>
        <w:rPr>
          <w:bCs/>
          <w:sz w:val="24"/>
          <w:szCs w:val="24"/>
        </w:rPr>
        <w:t xml:space="preserve">arrecadou </w:t>
      </w:r>
      <w:r w:rsidRPr="00977393">
        <w:rPr>
          <w:bCs/>
          <w:sz w:val="24"/>
          <w:szCs w:val="24"/>
        </w:rPr>
        <w:t xml:space="preserve">R$ 15,4 bilhões em 2023 </w:t>
      </w:r>
      <w:r>
        <w:rPr>
          <w:bCs/>
          <w:sz w:val="24"/>
          <w:szCs w:val="24"/>
        </w:rPr>
        <w:t>e</w:t>
      </w:r>
      <w:r w:rsidRPr="00977393">
        <w:rPr>
          <w:bCs/>
          <w:sz w:val="24"/>
          <w:szCs w:val="24"/>
        </w:rPr>
        <w:t xml:space="preserve"> R$ 16,7 bilhões em 2024</w:t>
      </w:r>
      <w:r>
        <w:rPr>
          <w:bCs/>
          <w:sz w:val="24"/>
          <w:szCs w:val="24"/>
        </w:rPr>
        <w:t xml:space="preserve">, alcançando um crescimento real de </w:t>
      </w:r>
      <w:r w:rsidRPr="00977393">
        <w:rPr>
          <w:bCs/>
          <w:sz w:val="24"/>
          <w:szCs w:val="24"/>
        </w:rPr>
        <w:t>8,36%</w:t>
      </w:r>
      <w:r>
        <w:rPr>
          <w:bCs/>
          <w:sz w:val="24"/>
          <w:szCs w:val="24"/>
        </w:rPr>
        <w:t xml:space="preserve"> na receita tributária, conforme o </w:t>
      </w:r>
      <w:r w:rsidRPr="00977393">
        <w:rPr>
          <w:bCs/>
          <w:sz w:val="24"/>
          <w:szCs w:val="24"/>
        </w:rPr>
        <w:t>Gráfico 2</w:t>
      </w:r>
      <w:r>
        <w:rPr>
          <w:bCs/>
          <w:sz w:val="24"/>
          <w:szCs w:val="24"/>
        </w:rPr>
        <w:t xml:space="preserve">. </w:t>
      </w:r>
      <w:r w:rsidRPr="00977393">
        <w:rPr>
          <w:bCs/>
          <w:sz w:val="24"/>
          <w:szCs w:val="24"/>
        </w:rPr>
        <w:t xml:space="preserve"> </w:t>
      </w:r>
    </w:p>
    <w:p w14:paraId="56E82387" w14:textId="77777777" w:rsidR="00B84207" w:rsidRDefault="00B84207" w:rsidP="00B84207">
      <w:pPr>
        <w:spacing w:line="360" w:lineRule="auto"/>
        <w:ind w:firstLine="709"/>
        <w:jc w:val="both"/>
        <w:rPr>
          <w:bCs/>
          <w:sz w:val="24"/>
          <w:szCs w:val="24"/>
        </w:rPr>
      </w:pPr>
      <w:r w:rsidRPr="00977393">
        <w:rPr>
          <w:bCs/>
          <w:sz w:val="24"/>
          <w:szCs w:val="24"/>
        </w:rPr>
        <w:t>Essa dinâmica evidencia não apenas as diferenças nos volumes arrecadados, mas também as trajetórias distintas desses estados ao longo do biênio, destacando o Ceará como o único com crescimento real da receita tributária.</w:t>
      </w:r>
    </w:p>
    <w:p w14:paraId="0CCA72AC" w14:textId="77777777" w:rsidR="00F6785D" w:rsidRDefault="00F6785D" w:rsidP="00F6785D">
      <w:pPr>
        <w:spacing w:line="360" w:lineRule="auto"/>
        <w:ind w:firstLine="720"/>
        <w:jc w:val="both"/>
        <w:rPr>
          <w:bCs/>
          <w:sz w:val="24"/>
          <w:szCs w:val="24"/>
        </w:rPr>
      </w:pPr>
      <w:r>
        <w:rPr>
          <w:bCs/>
          <w:sz w:val="24"/>
          <w:szCs w:val="24"/>
        </w:rPr>
        <w:t xml:space="preserve">No que diz respeito a composição da receita tributária, como se deu a dinâmica de arrecadação de impostos diretos e indiretos nos estados da BA, CE, PE? </w:t>
      </w:r>
    </w:p>
    <w:p w14:paraId="6FC6DC22" w14:textId="465D8C5C" w:rsidR="004C33CD" w:rsidRPr="004C33CD" w:rsidRDefault="004C33CD" w:rsidP="004C33CD">
      <w:pPr>
        <w:spacing w:line="360" w:lineRule="auto"/>
        <w:ind w:firstLine="720"/>
        <w:jc w:val="both"/>
        <w:rPr>
          <w:bCs/>
          <w:sz w:val="24"/>
          <w:szCs w:val="24"/>
        </w:rPr>
      </w:pPr>
      <w:r>
        <w:rPr>
          <w:bCs/>
          <w:sz w:val="24"/>
          <w:szCs w:val="24"/>
        </w:rPr>
        <w:t xml:space="preserve">Na Bahia, a arrecadação dos impostos diretos, </w:t>
      </w:r>
      <w:r w:rsidRPr="00977393">
        <w:rPr>
          <w:bCs/>
          <w:sz w:val="24"/>
          <w:szCs w:val="24"/>
        </w:rPr>
        <w:t xml:space="preserve">IPVA, o ITCMD e o IRRF, </w:t>
      </w:r>
      <w:r>
        <w:rPr>
          <w:bCs/>
          <w:sz w:val="24"/>
          <w:szCs w:val="24"/>
        </w:rPr>
        <w:t xml:space="preserve">foi de R$ 5,93 bilhões em 2023 e R$ 5,36 bilhões em 2024, um decréscimo de 9,61%, conforme o gráfico 3. </w:t>
      </w:r>
      <w:r w:rsidR="00977393" w:rsidRPr="008A7A84">
        <w:rPr>
          <w:b/>
          <w:vanish/>
          <w:sz w:val="20"/>
          <w:szCs w:val="20"/>
        </w:rPr>
        <w:t>Parte inferior do formulário</w:t>
      </w:r>
    </w:p>
    <w:p w14:paraId="559A66F0" w14:textId="77777777" w:rsidR="004C33CD" w:rsidRPr="00961D16" w:rsidRDefault="004C33CD" w:rsidP="00977393">
      <w:pPr>
        <w:spacing w:line="240" w:lineRule="auto"/>
        <w:jc w:val="center"/>
        <w:rPr>
          <w:b/>
          <w:vanish/>
          <w:sz w:val="20"/>
          <w:szCs w:val="20"/>
        </w:rPr>
      </w:pPr>
    </w:p>
    <w:p w14:paraId="6971908E" w14:textId="1040208A" w:rsidR="002F63C3" w:rsidRPr="008A7A84" w:rsidRDefault="00217AED" w:rsidP="00F7133C">
      <w:pPr>
        <w:spacing w:line="240" w:lineRule="auto"/>
        <w:jc w:val="center"/>
        <w:rPr>
          <w:sz w:val="20"/>
          <w:szCs w:val="20"/>
        </w:rPr>
      </w:pPr>
      <w:r w:rsidRPr="00961D16">
        <w:rPr>
          <w:b/>
          <w:sz w:val="24"/>
          <w:szCs w:val="24"/>
        </w:rPr>
        <w:t>Gráfico</w:t>
      </w:r>
      <w:r w:rsidR="002F63C3" w:rsidRPr="00961D16">
        <w:rPr>
          <w:b/>
          <w:sz w:val="24"/>
          <w:szCs w:val="24"/>
        </w:rPr>
        <w:t xml:space="preserve"> 3</w:t>
      </w:r>
      <w:r w:rsidR="002F63C3" w:rsidRPr="008A7A84">
        <w:rPr>
          <w:sz w:val="24"/>
          <w:szCs w:val="24"/>
        </w:rPr>
        <w:t xml:space="preserve"> – </w:t>
      </w:r>
      <w:r w:rsidR="008A7A84" w:rsidRPr="008A7A84">
        <w:rPr>
          <w:sz w:val="24"/>
          <w:szCs w:val="24"/>
        </w:rPr>
        <w:t>Evolução do montante dos impostos diretos e indiretos arrecadados pelo estado da Bahia no período 2023-2024</w:t>
      </w:r>
    </w:p>
    <w:p w14:paraId="1FC0C9F7" w14:textId="7066C30D" w:rsidR="00F12117" w:rsidRPr="00902A15" w:rsidRDefault="004C4E10" w:rsidP="002F63C3">
      <w:pPr>
        <w:spacing w:line="240" w:lineRule="auto"/>
        <w:jc w:val="center"/>
        <w:rPr>
          <w:b/>
          <w:sz w:val="20"/>
          <w:szCs w:val="20"/>
        </w:rPr>
      </w:pPr>
      <w:r>
        <w:rPr>
          <w:noProof/>
        </w:rPr>
        <w:drawing>
          <wp:inline distT="0" distB="0" distL="0" distR="0" wp14:anchorId="5969EF33" wp14:editId="457248C3">
            <wp:extent cx="4349080" cy="2628900"/>
            <wp:effectExtent l="0" t="0" r="0" b="0"/>
            <wp:docPr id="180574116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053" b="2716"/>
                    <a:stretch>
                      <a:fillRect/>
                    </a:stretch>
                  </pic:blipFill>
                  <pic:spPr bwMode="auto">
                    <a:xfrm>
                      <a:off x="0" y="0"/>
                      <a:ext cx="4374244" cy="2644111"/>
                    </a:xfrm>
                    <a:prstGeom prst="rect">
                      <a:avLst/>
                    </a:prstGeom>
                    <a:noFill/>
                    <a:ln>
                      <a:noFill/>
                    </a:ln>
                    <a:extLst>
                      <a:ext uri="{53640926-AAD7-44D8-BBD7-CCE9431645EC}">
                        <a14:shadowObscured xmlns:a14="http://schemas.microsoft.com/office/drawing/2010/main"/>
                      </a:ext>
                    </a:extLst>
                  </pic:spPr>
                </pic:pic>
              </a:graphicData>
            </a:graphic>
          </wp:inline>
        </w:drawing>
      </w:r>
    </w:p>
    <w:p w14:paraId="10A892F2" w14:textId="13F13EF1" w:rsidR="00D2245A" w:rsidRPr="00902A15" w:rsidRDefault="00D2245A" w:rsidP="00B00FF3">
      <w:pPr>
        <w:spacing w:line="240" w:lineRule="auto"/>
        <w:jc w:val="center"/>
        <w:rPr>
          <w:sz w:val="20"/>
          <w:szCs w:val="20"/>
        </w:rPr>
      </w:pPr>
      <w:r w:rsidRPr="00D2245A">
        <w:rPr>
          <w:bCs/>
          <w:sz w:val="20"/>
          <w:szCs w:val="20"/>
        </w:rPr>
        <w:t>Fonte:</w:t>
      </w:r>
      <w:r w:rsidRPr="00902A15">
        <w:rPr>
          <w:sz w:val="20"/>
          <w:szCs w:val="20"/>
        </w:rPr>
        <w:t xml:space="preserve"> </w:t>
      </w:r>
      <w:r w:rsidR="00B00FF3">
        <w:rPr>
          <w:sz w:val="20"/>
          <w:szCs w:val="20"/>
        </w:rPr>
        <w:t>Bahia</w:t>
      </w:r>
      <w:r w:rsidRPr="00902A15">
        <w:rPr>
          <w:sz w:val="20"/>
          <w:szCs w:val="20"/>
        </w:rPr>
        <w:t xml:space="preserve"> (2025)</w:t>
      </w:r>
    </w:p>
    <w:p w14:paraId="66CB7683" w14:textId="2E1A1506" w:rsidR="008A7A84" w:rsidRPr="008A7A84" w:rsidRDefault="008A7A84" w:rsidP="00977393">
      <w:pPr>
        <w:spacing w:line="360" w:lineRule="auto"/>
        <w:ind w:firstLine="720"/>
        <w:jc w:val="both"/>
        <w:rPr>
          <w:bCs/>
          <w:sz w:val="20"/>
          <w:szCs w:val="20"/>
        </w:rPr>
      </w:pPr>
    </w:p>
    <w:p w14:paraId="57DBD209" w14:textId="3D47085C" w:rsidR="008565F2" w:rsidRDefault="00B84207" w:rsidP="005B04C8">
      <w:pPr>
        <w:spacing w:line="360" w:lineRule="auto"/>
        <w:ind w:firstLine="720"/>
        <w:jc w:val="both"/>
        <w:rPr>
          <w:bCs/>
          <w:sz w:val="24"/>
          <w:szCs w:val="24"/>
        </w:rPr>
      </w:pPr>
      <w:r>
        <w:rPr>
          <w:bCs/>
          <w:sz w:val="24"/>
          <w:szCs w:val="24"/>
        </w:rPr>
        <w:t>A</w:t>
      </w:r>
      <w:r w:rsidR="00BD0F61">
        <w:rPr>
          <w:bCs/>
          <w:sz w:val="24"/>
          <w:szCs w:val="24"/>
        </w:rPr>
        <w:t xml:space="preserve"> </w:t>
      </w:r>
      <w:r w:rsidR="00BD0F61" w:rsidRPr="00977393">
        <w:rPr>
          <w:bCs/>
          <w:sz w:val="24"/>
          <w:szCs w:val="24"/>
        </w:rPr>
        <w:t>receita</w:t>
      </w:r>
      <w:r w:rsidR="00EE5D0E" w:rsidRPr="00977393">
        <w:rPr>
          <w:bCs/>
          <w:sz w:val="24"/>
          <w:szCs w:val="24"/>
        </w:rPr>
        <w:t xml:space="preserve"> do IRRF </w:t>
      </w:r>
      <w:r w:rsidR="00BD0F61">
        <w:rPr>
          <w:bCs/>
          <w:sz w:val="24"/>
          <w:szCs w:val="24"/>
        </w:rPr>
        <w:t xml:space="preserve">passou </w:t>
      </w:r>
      <w:r w:rsidR="00EE5D0E" w:rsidRPr="00977393">
        <w:rPr>
          <w:bCs/>
          <w:sz w:val="24"/>
          <w:szCs w:val="24"/>
        </w:rPr>
        <w:t>de R$ 3,</w:t>
      </w:r>
      <w:r w:rsidR="00BD0F61">
        <w:rPr>
          <w:bCs/>
          <w:sz w:val="24"/>
          <w:szCs w:val="24"/>
        </w:rPr>
        <w:t>56</w:t>
      </w:r>
      <w:r w:rsidR="00EE5D0E" w:rsidRPr="00977393">
        <w:rPr>
          <w:bCs/>
          <w:sz w:val="24"/>
          <w:szCs w:val="24"/>
        </w:rPr>
        <w:t xml:space="preserve"> bilhões</w:t>
      </w:r>
      <w:r w:rsidR="00BD0F61">
        <w:rPr>
          <w:bCs/>
          <w:sz w:val="24"/>
          <w:szCs w:val="24"/>
        </w:rPr>
        <w:t xml:space="preserve"> em 2023</w:t>
      </w:r>
      <w:r w:rsidR="00EE5D0E" w:rsidRPr="00977393">
        <w:rPr>
          <w:bCs/>
          <w:sz w:val="24"/>
          <w:szCs w:val="24"/>
        </w:rPr>
        <w:t xml:space="preserve"> para R$ 4,</w:t>
      </w:r>
      <w:r w:rsidR="00BD0F61">
        <w:rPr>
          <w:bCs/>
          <w:sz w:val="24"/>
          <w:szCs w:val="24"/>
        </w:rPr>
        <w:t>08</w:t>
      </w:r>
      <w:r w:rsidR="00EE5D0E" w:rsidRPr="00977393">
        <w:rPr>
          <w:bCs/>
          <w:sz w:val="24"/>
          <w:szCs w:val="24"/>
        </w:rPr>
        <w:t xml:space="preserve"> bilhões 2024</w:t>
      </w:r>
      <w:r w:rsidR="00BD0F61">
        <w:rPr>
          <w:bCs/>
          <w:sz w:val="24"/>
          <w:szCs w:val="24"/>
        </w:rPr>
        <w:t xml:space="preserve">, um crescimento de 12,74%; o </w:t>
      </w:r>
      <w:r w:rsidR="00EE5D0E" w:rsidRPr="00977393">
        <w:rPr>
          <w:bCs/>
          <w:sz w:val="24"/>
          <w:szCs w:val="24"/>
        </w:rPr>
        <w:t>IPVA</w:t>
      </w:r>
      <w:r w:rsidR="00BD0F61">
        <w:rPr>
          <w:bCs/>
          <w:sz w:val="24"/>
          <w:szCs w:val="24"/>
        </w:rPr>
        <w:t xml:space="preserve"> variou de R$ 2,12 bilhões para R$ 1,01 bilhão em 2024, uma redução de 53,8%; </w:t>
      </w:r>
      <w:r w:rsidR="00EE5D0E" w:rsidRPr="00977393">
        <w:rPr>
          <w:bCs/>
          <w:sz w:val="24"/>
          <w:szCs w:val="24"/>
        </w:rPr>
        <w:t xml:space="preserve">e o ITCMD </w:t>
      </w:r>
      <w:r w:rsidR="00BD0F61">
        <w:rPr>
          <w:bCs/>
          <w:sz w:val="24"/>
          <w:szCs w:val="24"/>
        </w:rPr>
        <w:t>passou de R$ 240,7 milhões para R$ 247,4 milhões, uma elevação de 2,74%.</w:t>
      </w:r>
      <w:r w:rsidR="008565F2">
        <w:rPr>
          <w:bCs/>
          <w:sz w:val="24"/>
          <w:szCs w:val="24"/>
        </w:rPr>
        <w:t xml:space="preserve"> </w:t>
      </w:r>
    </w:p>
    <w:p w14:paraId="27D65228" w14:textId="544BEA1E" w:rsidR="005B04C8" w:rsidRDefault="008565F2" w:rsidP="005B04C8">
      <w:pPr>
        <w:spacing w:line="360" w:lineRule="auto"/>
        <w:ind w:firstLine="720"/>
        <w:jc w:val="both"/>
        <w:rPr>
          <w:bCs/>
          <w:sz w:val="24"/>
          <w:szCs w:val="24"/>
        </w:rPr>
      </w:pPr>
      <w:r>
        <w:rPr>
          <w:bCs/>
          <w:sz w:val="24"/>
          <w:szCs w:val="24"/>
        </w:rPr>
        <w:t>Portanto, a redução da arrecadação dos impostos diretos está diretamente ligada a redução do IPVA, isto é, a desoneração tributária dos proprietários de veículos automotores.</w:t>
      </w:r>
    </w:p>
    <w:p w14:paraId="31E119F8" w14:textId="19DF57F0" w:rsidR="005A1A3B" w:rsidRDefault="00977393" w:rsidP="00977393">
      <w:pPr>
        <w:spacing w:line="360" w:lineRule="auto"/>
        <w:ind w:firstLine="720"/>
        <w:jc w:val="both"/>
        <w:rPr>
          <w:bCs/>
          <w:sz w:val="24"/>
          <w:szCs w:val="24"/>
        </w:rPr>
      </w:pPr>
      <w:r w:rsidRPr="00977393">
        <w:rPr>
          <w:bCs/>
          <w:sz w:val="24"/>
          <w:szCs w:val="24"/>
        </w:rPr>
        <w:t xml:space="preserve">Na Bahia, </w:t>
      </w:r>
      <w:r w:rsidR="005B04C8">
        <w:rPr>
          <w:bCs/>
          <w:sz w:val="24"/>
          <w:szCs w:val="24"/>
        </w:rPr>
        <w:t xml:space="preserve">a arrecadação do imposto indireto, o </w:t>
      </w:r>
      <w:r w:rsidRPr="00977393">
        <w:rPr>
          <w:bCs/>
          <w:sz w:val="24"/>
          <w:szCs w:val="24"/>
        </w:rPr>
        <w:t>ICMS</w:t>
      </w:r>
      <w:r w:rsidR="005B04C8">
        <w:rPr>
          <w:bCs/>
          <w:sz w:val="24"/>
          <w:szCs w:val="24"/>
        </w:rPr>
        <w:t>,</w:t>
      </w:r>
      <w:r w:rsidRPr="00977393">
        <w:rPr>
          <w:bCs/>
          <w:sz w:val="24"/>
          <w:szCs w:val="24"/>
        </w:rPr>
        <w:t xml:space="preserve"> totalizou </w:t>
      </w:r>
      <w:r w:rsidR="005B04C8">
        <w:rPr>
          <w:bCs/>
          <w:sz w:val="24"/>
          <w:szCs w:val="24"/>
        </w:rPr>
        <w:t xml:space="preserve">um montante de </w:t>
      </w:r>
      <w:r w:rsidRPr="00977393">
        <w:rPr>
          <w:bCs/>
          <w:sz w:val="24"/>
          <w:szCs w:val="24"/>
        </w:rPr>
        <w:t>R$ 31,5 bilhões em 2023</w:t>
      </w:r>
      <w:r w:rsidR="005B04C8">
        <w:rPr>
          <w:bCs/>
          <w:sz w:val="24"/>
          <w:szCs w:val="24"/>
        </w:rPr>
        <w:t xml:space="preserve"> e </w:t>
      </w:r>
      <w:r w:rsidRPr="00977393">
        <w:rPr>
          <w:bCs/>
          <w:sz w:val="24"/>
          <w:szCs w:val="24"/>
        </w:rPr>
        <w:t xml:space="preserve">R$ 29,4 bilhões em 2024, </w:t>
      </w:r>
      <w:r w:rsidR="005B04C8">
        <w:rPr>
          <w:bCs/>
          <w:sz w:val="24"/>
          <w:szCs w:val="24"/>
        </w:rPr>
        <w:t xml:space="preserve">uma redução de </w:t>
      </w:r>
      <w:r w:rsidR="005A1A3B">
        <w:rPr>
          <w:bCs/>
          <w:sz w:val="24"/>
          <w:szCs w:val="24"/>
        </w:rPr>
        <w:t>6,67%</w:t>
      </w:r>
      <w:r w:rsidR="004F181E">
        <w:rPr>
          <w:bCs/>
          <w:sz w:val="24"/>
          <w:szCs w:val="24"/>
        </w:rPr>
        <w:t>.</w:t>
      </w:r>
    </w:p>
    <w:p w14:paraId="72AE65E1" w14:textId="77777777" w:rsidR="00D2245A" w:rsidRDefault="00977393" w:rsidP="00977393">
      <w:pPr>
        <w:spacing w:line="360" w:lineRule="auto"/>
        <w:ind w:firstLine="720"/>
        <w:jc w:val="both"/>
        <w:rPr>
          <w:bCs/>
          <w:sz w:val="24"/>
          <w:szCs w:val="24"/>
        </w:rPr>
      </w:pPr>
      <w:r w:rsidRPr="00977393">
        <w:rPr>
          <w:bCs/>
          <w:sz w:val="24"/>
          <w:szCs w:val="24"/>
        </w:rPr>
        <w:t xml:space="preserve">Essa diminuição na arrecadação do principal imposto estadual impacta diretamente </w:t>
      </w:r>
      <w:r w:rsidR="00D2245A">
        <w:rPr>
          <w:bCs/>
          <w:sz w:val="24"/>
          <w:szCs w:val="24"/>
        </w:rPr>
        <w:t>n</w:t>
      </w:r>
      <w:r w:rsidRPr="00977393">
        <w:rPr>
          <w:bCs/>
          <w:sz w:val="24"/>
          <w:szCs w:val="24"/>
        </w:rPr>
        <w:t xml:space="preserve">o volume </w:t>
      </w:r>
      <w:r w:rsidR="00D2245A">
        <w:rPr>
          <w:bCs/>
          <w:sz w:val="24"/>
          <w:szCs w:val="24"/>
        </w:rPr>
        <w:t xml:space="preserve">de recursos </w:t>
      </w:r>
      <w:r w:rsidRPr="00977393">
        <w:rPr>
          <w:bCs/>
          <w:sz w:val="24"/>
          <w:szCs w:val="24"/>
        </w:rPr>
        <w:t xml:space="preserve">disponível no fundo público estadual, o que requer atenção especial à sustentabilidade fiscal e à estrutura tributária vigente. </w:t>
      </w:r>
    </w:p>
    <w:p w14:paraId="49026FA3" w14:textId="0DDE7E71" w:rsidR="00B5302C" w:rsidRDefault="00D2245A" w:rsidP="004C33CD">
      <w:pPr>
        <w:spacing w:line="360" w:lineRule="auto"/>
        <w:ind w:firstLine="720"/>
        <w:jc w:val="both"/>
        <w:rPr>
          <w:bCs/>
          <w:sz w:val="24"/>
          <w:szCs w:val="24"/>
        </w:rPr>
      </w:pPr>
      <w:r>
        <w:rPr>
          <w:bCs/>
          <w:sz w:val="24"/>
          <w:szCs w:val="24"/>
        </w:rPr>
        <w:t xml:space="preserve">Portanto, no estado da BA tanto a receita de impostos diretos como a de indiretos foram reduzidas, porém </w:t>
      </w:r>
      <w:r w:rsidR="00977393" w:rsidRPr="00977393">
        <w:rPr>
          <w:bCs/>
          <w:sz w:val="24"/>
          <w:szCs w:val="24"/>
        </w:rPr>
        <w:t xml:space="preserve">a predominância </w:t>
      </w:r>
      <w:r>
        <w:rPr>
          <w:bCs/>
          <w:sz w:val="24"/>
          <w:szCs w:val="24"/>
        </w:rPr>
        <w:t xml:space="preserve">da arrecadação </w:t>
      </w:r>
      <w:r w:rsidR="00977393" w:rsidRPr="00977393">
        <w:rPr>
          <w:bCs/>
          <w:sz w:val="24"/>
          <w:szCs w:val="24"/>
        </w:rPr>
        <w:t>dos tributos indiretos na composição da receita</w:t>
      </w:r>
      <w:r w:rsidR="00B5302C">
        <w:rPr>
          <w:bCs/>
          <w:sz w:val="24"/>
          <w:szCs w:val="24"/>
        </w:rPr>
        <w:t xml:space="preserve"> tributária</w:t>
      </w:r>
      <w:r>
        <w:rPr>
          <w:bCs/>
          <w:sz w:val="24"/>
          <w:szCs w:val="24"/>
        </w:rPr>
        <w:t xml:space="preserve"> continua a provocar distorções negativas na </w:t>
      </w:r>
      <w:r w:rsidR="00977393" w:rsidRPr="00977393">
        <w:rPr>
          <w:bCs/>
          <w:sz w:val="24"/>
          <w:szCs w:val="24"/>
        </w:rPr>
        <w:t xml:space="preserve">distribuição da carga tributária </w:t>
      </w:r>
      <w:r>
        <w:rPr>
          <w:bCs/>
          <w:sz w:val="24"/>
          <w:szCs w:val="24"/>
        </w:rPr>
        <w:t>onerando mais a</w:t>
      </w:r>
      <w:r w:rsidR="00977393" w:rsidRPr="00977393">
        <w:rPr>
          <w:bCs/>
          <w:sz w:val="24"/>
          <w:szCs w:val="24"/>
        </w:rPr>
        <w:t>s classes sociais</w:t>
      </w:r>
      <w:r>
        <w:rPr>
          <w:bCs/>
          <w:sz w:val="24"/>
          <w:szCs w:val="24"/>
        </w:rPr>
        <w:t xml:space="preserve"> de mais baixa renda.</w:t>
      </w:r>
    </w:p>
    <w:p w14:paraId="4ED5F5C3" w14:textId="7D08EEB4" w:rsidR="004F181E" w:rsidRDefault="004F181E" w:rsidP="004F181E">
      <w:pPr>
        <w:spacing w:line="360" w:lineRule="auto"/>
        <w:ind w:firstLine="720"/>
        <w:jc w:val="both"/>
        <w:rPr>
          <w:bCs/>
          <w:sz w:val="24"/>
          <w:szCs w:val="24"/>
        </w:rPr>
      </w:pPr>
      <w:r>
        <w:rPr>
          <w:bCs/>
          <w:sz w:val="24"/>
          <w:szCs w:val="24"/>
        </w:rPr>
        <w:t>No estado de Pernambuco, a arrecadação dos impostos diretos totalizou R$ 4,84 bilhões em 2023 e R$ 3,71 bilhões, um decréscimo de 23,33%, conforme o gráfico 4.</w:t>
      </w:r>
    </w:p>
    <w:p w14:paraId="717EFD27" w14:textId="5879857A" w:rsidR="00E86C0B" w:rsidRPr="008A7A84" w:rsidRDefault="00217AED" w:rsidP="00E86C0B">
      <w:pPr>
        <w:spacing w:line="240" w:lineRule="auto"/>
        <w:jc w:val="center"/>
        <w:rPr>
          <w:sz w:val="20"/>
          <w:szCs w:val="20"/>
        </w:rPr>
      </w:pPr>
      <w:r w:rsidRPr="00961D16">
        <w:rPr>
          <w:b/>
          <w:sz w:val="24"/>
          <w:szCs w:val="24"/>
        </w:rPr>
        <w:t>Gráfico</w:t>
      </w:r>
      <w:r w:rsidR="002F63C3" w:rsidRPr="00961D16">
        <w:rPr>
          <w:b/>
          <w:sz w:val="24"/>
          <w:szCs w:val="24"/>
        </w:rPr>
        <w:t xml:space="preserve"> </w:t>
      </w:r>
      <w:r w:rsidR="00F7133C" w:rsidRPr="00961D16">
        <w:rPr>
          <w:b/>
          <w:sz w:val="24"/>
          <w:szCs w:val="24"/>
        </w:rPr>
        <w:t>4</w:t>
      </w:r>
      <w:r w:rsidR="00F7133C" w:rsidRPr="004C33CD">
        <w:rPr>
          <w:b/>
          <w:sz w:val="24"/>
          <w:szCs w:val="24"/>
        </w:rPr>
        <w:t xml:space="preserve"> </w:t>
      </w:r>
      <w:r w:rsidR="002F63C3" w:rsidRPr="004C33CD">
        <w:rPr>
          <w:sz w:val="24"/>
          <w:szCs w:val="24"/>
        </w:rPr>
        <w:t xml:space="preserve">– </w:t>
      </w:r>
      <w:r w:rsidR="00E86C0B" w:rsidRPr="004C33CD">
        <w:rPr>
          <w:sz w:val="24"/>
          <w:szCs w:val="24"/>
        </w:rPr>
        <w:t xml:space="preserve">Evolução </w:t>
      </w:r>
      <w:r w:rsidR="00E86C0B" w:rsidRPr="008A7A84">
        <w:rPr>
          <w:sz w:val="24"/>
          <w:szCs w:val="24"/>
        </w:rPr>
        <w:t>do montante dos impostos diretos e indiretos arrecadados pelo estado d</w:t>
      </w:r>
      <w:r w:rsidR="00E86C0B">
        <w:rPr>
          <w:sz w:val="24"/>
          <w:szCs w:val="24"/>
        </w:rPr>
        <w:t>e Pernambuco</w:t>
      </w:r>
      <w:r w:rsidR="00E86C0B" w:rsidRPr="008A7A84">
        <w:rPr>
          <w:sz w:val="24"/>
          <w:szCs w:val="24"/>
        </w:rPr>
        <w:t xml:space="preserve"> no período 2023-2024</w:t>
      </w:r>
    </w:p>
    <w:p w14:paraId="35F155EB" w14:textId="2FC2A520" w:rsidR="002F63C3" w:rsidRPr="00C1289F" w:rsidRDefault="002F63C3" w:rsidP="002F63C3">
      <w:pPr>
        <w:spacing w:line="240" w:lineRule="auto"/>
        <w:jc w:val="center"/>
        <w:rPr>
          <w:color w:val="EE0000"/>
          <w:sz w:val="24"/>
          <w:szCs w:val="24"/>
        </w:rPr>
      </w:pPr>
    </w:p>
    <w:p w14:paraId="0679F549" w14:textId="385DC8F2" w:rsidR="002F63C3" w:rsidRPr="00902A15" w:rsidRDefault="004C4E10" w:rsidP="002F63C3">
      <w:pPr>
        <w:spacing w:line="360" w:lineRule="auto"/>
        <w:jc w:val="center"/>
      </w:pPr>
      <w:r>
        <w:rPr>
          <w:noProof/>
        </w:rPr>
        <w:drawing>
          <wp:inline distT="0" distB="0" distL="0" distR="0" wp14:anchorId="4A7FC3B4" wp14:editId="28202331">
            <wp:extent cx="3784600" cy="2198763"/>
            <wp:effectExtent l="0" t="0" r="6350" b="0"/>
            <wp:docPr id="99980659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8421" b="2932"/>
                    <a:stretch>
                      <a:fillRect/>
                    </a:stretch>
                  </pic:blipFill>
                  <pic:spPr bwMode="auto">
                    <a:xfrm>
                      <a:off x="0" y="0"/>
                      <a:ext cx="3815712" cy="2216838"/>
                    </a:xfrm>
                    <a:prstGeom prst="rect">
                      <a:avLst/>
                    </a:prstGeom>
                    <a:noFill/>
                    <a:ln>
                      <a:noFill/>
                    </a:ln>
                    <a:extLst>
                      <a:ext uri="{53640926-AAD7-44D8-BBD7-CCE9431645EC}">
                        <a14:shadowObscured xmlns:a14="http://schemas.microsoft.com/office/drawing/2010/main"/>
                      </a:ext>
                    </a:extLst>
                  </pic:spPr>
                </pic:pic>
              </a:graphicData>
            </a:graphic>
          </wp:inline>
        </w:drawing>
      </w:r>
    </w:p>
    <w:p w14:paraId="0FC3ADFD" w14:textId="7FE3F882" w:rsidR="002F63C3" w:rsidRPr="00902A15" w:rsidRDefault="002F63C3" w:rsidP="002F63C3">
      <w:pPr>
        <w:spacing w:line="240" w:lineRule="auto"/>
        <w:jc w:val="center"/>
        <w:rPr>
          <w:sz w:val="20"/>
          <w:szCs w:val="20"/>
        </w:rPr>
      </w:pPr>
      <w:r w:rsidRPr="00961D16">
        <w:rPr>
          <w:bCs/>
          <w:sz w:val="20"/>
          <w:szCs w:val="20"/>
        </w:rPr>
        <w:t>Fonte</w:t>
      </w:r>
      <w:r w:rsidRPr="00902A15">
        <w:rPr>
          <w:sz w:val="20"/>
          <w:szCs w:val="20"/>
        </w:rPr>
        <w:t>:</w:t>
      </w:r>
      <w:r w:rsidR="008E0FE0">
        <w:rPr>
          <w:sz w:val="20"/>
          <w:szCs w:val="20"/>
        </w:rPr>
        <w:t xml:space="preserve"> Pernambuco</w:t>
      </w:r>
      <w:r w:rsidRPr="00902A15">
        <w:rPr>
          <w:sz w:val="20"/>
          <w:szCs w:val="20"/>
        </w:rPr>
        <w:t xml:space="preserve"> (2025)</w:t>
      </w:r>
    </w:p>
    <w:p w14:paraId="04524A57" w14:textId="77777777" w:rsidR="00E5555A" w:rsidRDefault="00E5555A" w:rsidP="00D9533B">
      <w:pPr>
        <w:spacing w:line="360" w:lineRule="auto"/>
        <w:ind w:firstLine="709"/>
        <w:jc w:val="both"/>
        <w:rPr>
          <w:sz w:val="24"/>
          <w:szCs w:val="24"/>
        </w:rPr>
      </w:pPr>
    </w:p>
    <w:p w14:paraId="7E84E246" w14:textId="43E5F7F3" w:rsidR="001E65A9" w:rsidRDefault="001E65A9" w:rsidP="00B5302C">
      <w:pPr>
        <w:spacing w:line="360" w:lineRule="auto"/>
        <w:ind w:firstLine="720"/>
        <w:jc w:val="both"/>
        <w:rPr>
          <w:bCs/>
          <w:sz w:val="24"/>
          <w:szCs w:val="24"/>
        </w:rPr>
      </w:pPr>
      <w:r>
        <w:rPr>
          <w:bCs/>
          <w:sz w:val="24"/>
          <w:szCs w:val="24"/>
        </w:rPr>
        <w:t xml:space="preserve">Destes, o IRRF arrecadou R$ 2,68 bilhões em 2023 e R$ 2,74 bilhões em 2024, um acréscimo de 2,23% na receita; o IPVA gerou um montante de R$ 2,00 bilhões em 2023 e R$ 727,07 milhões em 2024, um decréscimo de 63%; e o ITCMD </w:t>
      </w:r>
      <w:r w:rsidR="008565F2">
        <w:rPr>
          <w:bCs/>
          <w:sz w:val="24"/>
          <w:szCs w:val="24"/>
        </w:rPr>
        <w:t>arrecadou R$ 155,57 milhões em 2023 e R$ 238,64 milhões em 2024, um acréscimo de 53,39%.</w:t>
      </w:r>
    </w:p>
    <w:p w14:paraId="6BC6822F" w14:textId="074F9400" w:rsidR="008565F2" w:rsidRDefault="008565F2" w:rsidP="00B5302C">
      <w:pPr>
        <w:spacing w:line="360" w:lineRule="auto"/>
        <w:ind w:firstLine="720"/>
        <w:jc w:val="both"/>
        <w:rPr>
          <w:bCs/>
          <w:sz w:val="24"/>
          <w:szCs w:val="24"/>
        </w:rPr>
      </w:pPr>
      <w:r>
        <w:rPr>
          <w:bCs/>
          <w:sz w:val="24"/>
          <w:szCs w:val="24"/>
        </w:rPr>
        <w:t>Mais uma vez, como na Bahia, o determinante para redução da arrecadação dos impostos diretos no estado de Pernambuco foi a queda vertiginosa na receita do IPVA. Esta se deu por uma medida fiscal chamada “Descomplica PE” que reduziu a alíquota de IPVA e parcelou o valor do tributo em até dez vezes</w:t>
      </w:r>
      <w:r w:rsidR="00AB0B15">
        <w:rPr>
          <w:bCs/>
          <w:sz w:val="24"/>
          <w:szCs w:val="24"/>
        </w:rPr>
        <w:t xml:space="preserve"> para os proprietários de veículos automotores</w:t>
      </w:r>
      <w:r>
        <w:rPr>
          <w:bCs/>
          <w:sz w:val="24"/>
          <w:szCs w:val="24"/>
        </w:rPr>
        <w:t>, conforme matéria realizada pelo jornal Folha de Pernambuco</w:t>
      </w:r>
      <w:r w:rsidR="00B00FF3">
        <w:rPr>
          <w:bCs/>
          <w:sz w:val="24"/>
          <w:szCs w:val="24"/>
        </w:rPr>
        <w:t xml:space="preserve"> (2024). </w:t>
      </w:r>
    </w:p>
    <w:p w14:paraId="6E4E0E56" w14:textId="7ED51E7D" w:rsidR="00D9533B" w:rsidRPr="00D9533B" w:rsidRDefault="00B2072C" w:rsidP="00D9533B">
      <w:pPr>
        <w:spacing w:line="360" w:lineRule="auto"/>
        <w:ind w:firstLine="709"/>
        <w:jc w:val="both"/>
        <w:rPr>
          <w:sz w:val="24"/>
          <w:szCs w:val="24"/>
        </w:rPr>
      </w:pPr>
      <w:r>
        <w:rPr>
          <w:sz w:val="24"/>
          <w:szCs w:val="24"/>
        </w:rPr>
        <w:t>No entanto, a arrecadação do imposto indireto, ICMS, foi de R$ 18,04 bilhões em 2023 e R$ 15,79 em 2024, um decréscimo de 12,47% na receita. Essa queda tem impacto direto na autonomia do Estado no financiamento de suas políticas públicas, em especial as políticas sociais estaduais</w:t>
      </w:r>
      <w:r w:rsidR="00D9533B" w:rsidRPr="00D9533B">
        <w:rPr>
          <w:sz w:val="24"/>
          <w:szCs w:val="24"/>
        </w:rPr>
        <w:t>.</w:t>
      </w:r>
    </w:p>
    <w:p w14:paraId="4388E0B8" w14:textId="1801D909" w:rsidR="00D9533B" w:rsidRPr="00D9533B" w:rsidRDefault="00D9533B" w:rsidP="00D9533B">
      <w:pPr>
        <w:spacing w:line="360" w:lineRule="auto"/>
        <w:ind w:firstLine="709"/>
        <w:jc w:val="both"/>
        <w:rPr>
          <w:sz w:val="24"/>
          <w:szCs w:val="24"/>
        </w:rPr>
      </w:pPr>
      <w:r w:rsidRPr="00D9533B">
        <w:rPr>
          <w:sz w:val="24"/>
          <w:szCs w:val="24"/>
        </w:rPr>
        <w:t>Esses dados evidenciam a grande dependência do estado</w:t>
      </w:r>
      <w:r w:rsidR="00F508C2">
        <w:rPr>
          <w:sz w:val="24"/>
          <w:szCs w:val="24"/>
        </w:rPr>
        <w:t xml:space="preserve"> de PE na arrecadação de tributos indiretos</w:t>
      </w:r>
      <w:r w:rsidRPr="00D9533B">
        <w:rPr>
          <w:sz w:val="24"/>
          <w:szCs w:val="24"/>
        </w:rPr>
        <w:t>. Essa estrutura tributária impacta de forma desproporcional a população de menor renda, que destina uma parcela significativa de seus rendimentos ao consumo de bens e serviços básicos. Por outro lado, os impostos diretos, que poderiam onerar de forma mais eficiente as camadas de maior renda, representam uma parcela menor das receitas arrecadadas, revelando uma dinâmica regressiva na carga tributária estadual</w:t>
      </w:r>
      <w:r w:rsidR="00F508C2">
        <w:rPr>
          <w:sz w:val="24"/>
          <w:szCs w:val="24"/>
        </w:rPr>
        <w:t>.</w:t>
      </w:r>
    </w:p>
    <w:p w14:paraId="7A39F887" w14:textId="77777777" w:rsidR="00B85917" w:rsidRDefault="000601B5" w:rsidP="00B85917">
      <w:pPr>
        <w:spacing w:line="360" w:lineRule="auto"/>
        <w:ind w:firstLine="709"/>
        <w:jc w:val="both"/>
        <w:rPr>
          <w:bCs/>
          <w:sz w:val="24"/>
          <w:szCs w:val="24"/>
        </w:rPr>
      </w:pPr>
      <w:r>
        <w:rPr>
          <w:bCs/>
          <w:sz w:val="24"/>
          <w:szCs w:val="24"/>
        </w:rPr>
        <w:t>No Ceará</w:t>
      </w:r>
      <w:r w:rsidRPr="00D9533B">
        <w:rPr>
          <w:bCs/>
          <w:sz w:val="24"/>
          <w:szCs w:val="24"/>
        </w:rPr>
        <w:t xml:space="preserve">, </w:t>
      </w:r>
      <w:r>
        <w:rPr>
          <w:bCs/>
          <w:sz w:val="24"/>
          <w:szCs w:val="24"/>
        </w:rPr>
        <w:t xml:space="preserve">a arrecadação de impostos diretos passou de </w:t>
      </w:r>
      <w:r w:rsidRPr="00D9533B">
        <w:rPr>
          <w:bCs/>
          <w:sz w:val="24"/>
          <w:szCs w:val="24"/>
        </w:rPr>
        <w:t xml:space="preserve">R$ </w:t>
      </w:r>
      <w:r w:rsidR="00B85917">
        <w:rPr>
          <w:bCs/>
          <w:sz w:val="24"/>
          <w:szCs w:val="24"/>
        </w:rPr>
        <w:t>2,86</w:t>
      </w:r>
      <w:r w:rsidRPr="00D9533B">
        <w:rPr>
          <w:bCs/>
          <w:sz w:val="24"/>
          <w:szCs w:val="24"/>
        </w:rPr>
        <w:t xml:space="preserve"> bilh</w:t>
      </w:r>
      <w:r w:rsidR="00B85917">
        <w:rPr>
          <w:bCs/>
          <w:sz w:val="24"/>
          <w:szCs w:val="24"/>
        </w:rPr>
        <w:t>ões</w:t>
      </w:r>
      <w:r w:rsidRPr="00D9533B">
        <w:rPr>
          <w:bCs/>
          <w:sz w:val="24"/>
          <w:szCs w:val="24"/>
        </w:rPr>
        <w:t xml:space="preserve"> em </w:t>
      </w:r>
      <w:r w:rsidR="00B85917">
        <w:rPr>
          <w:bCs/>
          <w:sz w:val="24"/>
          <w:szCs w:val="24"/>
        </w:rPr>
        <w:t>2023 para R$ 3,15 bilhões, um crescimento de 10,13% na receita.</w:t>
      </w:r>
    </w:p>
    <w:p w14:paraId="2EA5E211" w14:textId="77777777" w:rsidR="00F508C2" w:rsidRDefault="00F508C2" w:rsidP="00F508C2">
      <w:pPr>
        <w:spacing w:line="360" w:lineRule="auto"/>
        <w:ind w:firstLine="709"/>
        <w:jc w:val="both"/>
        <w:rPr>
          <w:bCs/>
          <w:sz w:val="24"/>
          <w:szCs w:val="24"/>
        </w:rPr>
      </w:pPr>
      <w:r>
        <w:rPr>
          <w:bCs/>
          <w:sz w:val="24"/>
          <w:szCs w:val="24"/>
        </w:rPr>
        <w:t xml:space="preserve">O </w:t>
      </w:r>
      <w:r w:rsidRPr="00D9533B">
        <w:rPr>
          <w:bCs/>
          <w:sz w:val="24"/>
          <w:szCs w:val="24"/>
        </w:rPr>
        <w:t xml:space="preserve">IRRF </w:t>
      </w:r>
      <w:r>
        <w:rPr>
          <w:bCs/>
          <w:sz w:val="24"/>
          <w:szCs w:val="24"/>
        </w:rPr>
        <w:t xml:space="preserve">aportou R$ 2,02 bilhões em 2023 e R$ 2,25 bilhões, um acréscimo de 11,38% na receita de imposto renda retido na fonte; o IPVA arrecadou </w:t>
      </w:r>
      <w:r w:rsidRPr="00D9533B">
        <w:rPr>
          <w:bCs/>
          <w:sz w:val="24"/>
          <w:szCs w:val="24"/>
        </w:rPr>
        <w:t xml:space="preserve">R$ </w:t>
      </w:r>
      <w:r>
        <w:rPr>
          <w:bCs/>
          <w:sz w:val="24"/>
          <w:szCs w:val="24"/>
        </w:rPr>
        <w:t>752,36 milhões em 2023 e R$ 793,50 em 2024, um crescimento de 5,46%;</w:t>
      </w:r>
      <w:r w:rsidRPr="00D9533B">
        <w:rPr>
          <w:bCs/>
          <w:sz w:val="24"/>
          <w:szCs w:val="24"/>
        </w:rPr>
        <w:t xml:space="preserve"> e o ITCMD </w:t>
      </w:r>
      <w:r>
        <w:rPr>
          <w:bCs/>
          <w:sz w:val="24"/>
          <w:szCs w:val="24"/>
        </w:rPr>
        <w:t>aportou recursos na ordem de R$ 88,80 milhões em 2023 e R$ 101,73 milhões em 2024, um acréscimo de 14,55% na receita, conforme gráfico 5.</w:t>
      </w:r>
    </w:p>
    <w:p w14:paraId="1C3B6BDE" w14:textId="77777777" w:rsidR="00F508C2" w:rsidRDefault="00F508C2" w:rsidP="00B85917">
      <w:pPr>
        <w:spacing w:line="360" w:lineRule="auto"/>
        <w:ind w:firstLine="709"/>
        <w:jc w:val="both"/>
        <w:rPr>
          <w:bCs/>
          <w:sz w:val="24"/>
          <w:szCs w:val="24"/>
        </w:rPr>
      </w:pPr>
    </w:p>
    <w:p w14:paraId="66B2FD98" w14:textId="3B012FCC" w:rsidR="00C1289F" w:rsidRPr="00C1289F" w:rsidRDefault="00217AED" w:rsidP="00E53353">
      <w:pPr>
        <w:spacing w:line="240" w:lineRule="auto"/>
        <w:jc w:val="center"/>
        <w:rPr>
          <w:color w:val="EE0000"/>
          <w:sz w:val="24"/>
          <w:szCs w:val="24"/>
        </w:rPr>
      </w:pPr>
      <w:r w:rsidRPr="00961D16">
        <w:rPr>
          <w:b/>
          <w:sz w:val="24"/>
          <w:szCs w:val="24"/>
        </w:rPr>
        <w:t>Gráfico</w:t>
      </w:r>
      <w:r w:rsidR="002F63C3" w:rsidRPr="00961D16">
        <w:rPr>
          <w:b/>
          <w:sz w:val="24"/>
          <w:szCs w:val="24"/>
        </w:rPr>
        <w:t xml:space="preserve"> </w:t>
      </w:r>
      <w:r w:rsidR="00F7133C" w:rsidRPr="00961D16">
        <w:rPr>
          <w:b/>
          <w:sz w:val="24"/>
          <w:szCs w:val="24"/>
        </w:rPr>
        <w:t>5</w:t>
      </w:r>
      <w:r w:rsidR="002F63C3" w:rsidRPr="000601B5">
        <w:rPr>
          <w:sz w:val="24"/>
          <w:szCs w:val="24"/>
        </w:rPr>
        <w:t xml:space="preserve"> –</w:t>
      </w:r>
      <w:r w:rsidR="008B154F" w:rsidRPr="000601B5">
        <w:rPr>
          <w:sz w:val="24"/>
          <w:szCs w:val="24"/>
        </w:rPr>
        <w:t xml:space="preserve"> </w:t>
      </w:r>
      <w:r w:rsidR="008B154F" w:rsidRPr="008A7A84">
        <w:rPr>
          <w:sz w:val="24"/>
          <w:szCs w:val="24"/>
        </w:rPr>
        <w:t>Evolução do montante dos impostos diretos e indiretos arrecadados pelo estado d</w:t>
      </w:r>
      <w:r w:rsidR="008B154F">
        <w:rPr>
          <w:sz w:val="24"/>
          <w:szCs w:val="24"/>
        </w:rPr>
        <w:t>o Ceará</w:t>
      </w:r>
      <w:r w:rsidR="008B154F" w:rsidRPr="008A7A84">
        <w:rPr>
          <w:sz w:val="24"/>
          <w:szCs w:val="24"/>
        </w:rPr>
        <w:t xml:space="preserve"> no período 2023-2024</w:t>
      </w:r>
    </w:p>
    <w:p w14:paraId="7BD944E9" w14:textId="53D4AB5C" w:rsidR="002F63C3" w:rsidRPr="00E53353" w:rsidRDefault="00F7133C" w:rsidP="00E53353">
      <w:pPr>
        <w:spacing w:line="240" w:lineRule="auto"/>
        <w:jc w:val="center"/>
        <w:rPr>
          <w:sz w:val="24"/>
          <w:szCs w:val="24"/>
        </w:rPr>
      </w:pPr>
      <w:r>
        <w:rPr>
          <w:noProof/>
        </w:rPr>
        <w:drawing>
          <wp:inline distT="0" distB="0" distL="0" distR="0" wp14:anchorId="6A6EB2AA" wp14:editId="51F76AD2">
            <wp:extent cx="3676735" cy="2197100"/>
            <wp:effectExtent l="0" t="0" r="0" b="0"/>
            <wp:docPr id="115020857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5473" b="3349"/>
                    <a:stretch>
                      <a:fillRect/>
                    </a:stretch>
                  </pic:blipFill>
                  <pic:spPr bwMode="auto">
                    <a:xfrm>
                      <a:off x="0" y="0"/>
                      <a:ext cx="3711444" cy="2217841"/>
                    </a:xfrm>
                    <a:prstGeom prst="rect">
                      <a:avLst/>
                    </a:prstGeom>
                    <a:noFill/>
                    <a:ln>
                      <a:noFill/>
                    </a:ln>
                    <a:extLst>
                      <a:ext uri="{53640926-AAD7-44D8-BBD7-CCE9431645EC}">
                        <a14:shadowObscured xmlns:a14="http://schemas.microsoft.com/office/drawing/2010/main"/>
                      </a:ext>
                    </a:extLst>
                  </pic:spPr>
                </pic:pic>
              </a:graphicData>
            </a:graphic>
          </wp:inline>
        </w:drawing>
      </w:r>
    </w:p>
    <w:p w14:paraId="59359029" w14:textId="7D7755FF" w:rsidR="002F63C3" w:rsidRDefault="002F63C3" w:rsidP="00B00FF3">
      <w:pPr>
        <w:spacing w:line="240" w:lineRule="auto"/>
        <w:jc w:val="center"/>
        <w:rPr>
          <w:sz w:val="20"/>
          <w:szCs w:val="20"/>
        </w:rPr>
      </w:pPr>
      <w:r w:rsidRPr="000601B5">
        <w:rPr>
          <w:bCs/>
          <w:sz w:val="20"/>
          <w:szCs w:val="20"/>
        </w:rPr>
        <w:t>Fonte:</w:t>
      </w:r>
      <w:r w:rsidRPr="00902A15">
        <w:rPr>
          <w:sz w:val="20"/>
          <w:szCs w:val="20"/>
        </w:rPr>
        <w:t xml:space="preserve"> </w:t>
      </w:r>
      <w:r w:rsidR="006150FC">
        <w:rPr>
          <w:sz w:val="20"/>
          <w:szCs w:val="20"/>
        </w:rPr>
        <w:t>Ceará</w:t>
      </w:r>
      <w:r w:rsidRPr="00902A15">
        <w:rPr>
          <w:sz w:val="20"/>
          <w:szCs w:val="20"/>
        </w:rPr>
        <w:t xml:space="preserve"> (2025)</w:t>
      </w:r>
    </w:p>
    <w:p w14:paraId="41CE8FB4" w14:textId="77777777" w:rsidR="00EC6BC9" w:rsidRDefault="00EC6BC9" w:rsidP="002F63C3">
      <w:pPr>
        <w:spacing w:line="240" w:lineRule="auto"/>
        <w:jc w:val="center"/>
        <w:rPr>
          <w:sz w:val="20"/>
          <w:szCs w:val="20"/>
        </w:rPr>
      </w:pPr>
    </w:p>
    <w:p w14:paraId="109171C7" w14:textId="54DDAC51" w:rsidR="00B85917" w:rsidRPr="00D9533B" w:rsidRDefault="00B85917" w:rsidP="00B85917">
      <w:pPr>
        <w:spacing w:line="360" w:lineRule="auto"/>
        <w:ind w:firstLine="709"/>
        <w:jc w:val="both"/>
        <w:rPr>
          <w:bCs/>
          <w:sz w:val="24"/>
          <w:szCs w:val="24"/>
        </w:rPr>
      </w:pPr>
      <w:r>
        <w:rPr>
          <w:bCs/>
          <w:sz w:val="24"/>
          <w:szCs w:val="24"/>
        </w:rPr>
        <w:t>Entretanto, a</w:t>
      </w:r>
      <w:r w:rsidRPr="00D9533B">
        <w:rPr>
          <w:bCs/>
          <w:sz w:val="24"/>
          <w:szCs w:val="24"/>
        </w:rPr>
        <w:t xml:space="preserve"> receita proveniente dos impostos indiretos, </w:t>
      </w:r>
      <w:r>
        <w:rPr>
          <w:bCs/>
          <w:sz w:val="24"/>
          <w:szCs w:val="24"/>
        </w:rPr>
        <w:t xml:space="preserve">do </w:t>
      </w:r>
      <w:r w:rsidRPr="00D9533B">
        <w:rPr>
          <w:bCs/>
          <w:sz w:val="24"/>
          <w:szCs w:val="24"/>
        </w:rPr>
        <w:t xml:space="preserve">ICMS, </w:t>
      </w:r>
      <w:r>
        <w:rPr>
          <w:bCs/>
          <w:sz w:val="24"/>
          <w:szCs w:val="24"/>
        </w:rPr>
        <w:t>foi de R$ 9,87 bilhões em 2023 e R$ 11,95 bilhões em 2024, um acréscimo de 21,07% na arrecadação</w:t>
      </w:r>
      <w:r w:rsidRPr="00D9533B">
        <w:rPr>
          <w:bCs/>
          <w:sz w:val="24"/>
          <w:szCs w:val="24"/>
        </w:rPr>
        <w:t>.</w:t>
      </w:r>
    </w:p>
    <w:p w14:paraId="3A47A50B" w14:textId="157E669B" w:rsidR="00D9533B" w:rsidRDefault="00B85917" w:rsidP="00D9533B">
      <w:pPr>
        <w:spacing w:line="360" w:lineRule="auto"/>
        <w:ind w:firstLine="709"/>
        <w:jc w:val="both"/>
        <w:rPr>
          <w:bCs/>
          <w:sz w:val="24"/>
          <w:szCs w:val="24"/>
        </w:rPr>
      </w:pPr>
      <w:r>
        <w:rPr>
          <w:bCs/>
          <w:sz w:val="24"/>
          <w:szCs w:val="24"/>
        </w:rPr>
        <w:t xml:space="preserve">Portanto, </w:t>
      </w:r>
      <w:r w:rsidR="00D9533B" w:rsidRPr="00D9533B">
        <w:rPr>
          <w:bCs/>
          <w:sz w:val="24"/>
          <w:szCs w:val="24"/>
        </w:rPr>
        <w:t>o ICMS continua</w:t>
      </w:r>
      <w:r>
        <w:rPr>
          <w:bCs/>
          <w:sz w:val="24"/>
          <w:szCs w:val="24"/>
        </w:rPr>
        <w:t xml:space="preserve"> a ser </w:t>
      </w:r>
      <w:r w:rsidR="00D9533B" w:rsidRPr="00D9533B">
        <w:rPr>
          <w:bCs/>
          <w:sz w:val="24"/>
          <w:szCs w:val="24"/>
        </w:rPr>
        <w:t>a principal fonte de arrecadação</w:t>
      </w:r>
      <w:r>
        <w:rPr>
          <w:bCs/>
          <w:sz w:val="24"/>
          <w:szCs w:val="24"/>
        </w:rPr>
        <w:t xml:space="preserve"> tributária</w:t>
      </w:r>
      <w:r w:rsidR="00D9533B" w:rsidRPr="00D9533B">
        <w:rPr>
          <w:bCs/>
          <w:sz w:val="24"/>
          <w:szCs w:val="24"/>
        </w:rPr>
        <w:t xml:space="preserve">, reforçando </w:t>
      </w:r>
      <w:r>
        <w:rPr>
          <w:bCs/>
          <w:sz w:val="24"/>
          <w:szCs w:val="24"/>
        </w:rPr>
        <w:t>o</w:t>
      </w:r>
      <w:r w:rsidR="00D9533B" w:rsidRPr="00D9533B">
        <w:rPr>
          <w:bCs/>
          <w:sz w:val="24"/>
          <w:szCs w:val="24"/>
        </w:rPr>
        <w:t xml:space="preserve"> perfil regressivo da estrutura</w:t>
      </w:r>
      <w:r>
        <w:rPr>
          <w:bCs/>
          <w:sz w:val="24"/>
          <w:szCs w:val="24"/>
        </w:rPr>
        <w:t xml:space="preserve"> de impostos</w:t>
      </w:r>
      <w:r w:rsidR="00D9533B" w:rsidRPr="00D9533B">
        <w:rPr>
          <w:bCs/>
          <w:sz w:val="24"/>
          <w:szCs w:val="24"/>
        </w:rPr>
        <w:t xml:space="preserve"> do estado. </w:t>
      </w:r>
      <w:r>
        <w:rPr>
          <w:bCs/>
          <w:sz w:val="24"/>
          <w:szCs w:val="24"/>
        </w:rPr>
        <w:t xml:space="preserve">O </w:t>
      </w:r>
      <w:r w:rsidR="00D9533B" w:rsidRPr="00D9533B">
        <w:rPr>
          <w:bCs/>
          <w:sz w:val="24"/>
          <w:szCs w:val="24"/>
        </w:rPr>
        <w:t xml:space="preserve">crescimento </w:t>
      </w:r>
      <w:r>
        <w:rPr>
          <w:bCs/>
          <w:sz w:val="24"/>
          <w:szCs w:val="24"/>
        </w:rPr>
        <w:t xml:space="preserve">menos acelerado </w:t>
      </w:r>
      <w:r w:rsidR="00D9533B" w:rsidRPr="00D9533B">
        <w:rPr>
          <w:bCs/>
          <w:sz w:val="24"/>
          <w:szCs w:val="24"/>
        </w:rPr>
        <w:t>das receitas diretas</w:t>
      </w:r>
      <w:r>
        <w:rPr>
          <w:bCs/>
          <w:sz w:val="24"/>
          <w:szCs w:val="24"/>
        </w:rPr>
        <w:t xml:space="preserve"> em relação as indiretas</w:t>
      </w:r>
      <w:r w:rsidR="00D9533B" w:rsidRPr="00D9533B">
        <w:rPr>
          <w:bCs/>
          <w:sz w:val="24"/>
          <w:szCs w:val="24"/>
        </w:rPr>
        <w:t xml:space="preserve">, indica a manutenção de um padrão de arrecadação fortemente dependente do consumo, o que </w:t>
      </w:r>
      <w:r w:rsidR="00905E74">
        <w:rPr>
          <w:bCs/>
          <w:sz w:val="24"/>
          <w:szCs w:val="24"/>
        </w:rPr>
        <w:t>concorre para desonerar as classes de mais alta renda e onerar as de menor renda no estado do Ceará.</w:t>
      </w:r>
    </w:p>
    <w:p w14:paraId="1787C47B" w14:textId="77777777" w:rsidR="00905E74" w:rsidRPr="00D9533B" w:rsidRDefault="00905E74" w:rsidP="00D9533B">
      <w:pPr>
        <w:spacing w:line="360" w:lineRule="auto"/>
        <w:ind w:firstLine="709"/>
        <w:jc w:val="both"/>
        <w:rPr>
          <w:bCs/>
          <w:sz w:val="24"/>
          <w:szCs w:val="24"/>
        </w:rPr>
      </w:pPr>
    </w:p>
    <w:p w14:paraId="5B01D0B0" w14:textId="4F6EC00E" w:rsidR="005A7A57" w:rsidRDefault="00585A25" w:rsidP="00585A25">
      <w:pPr>
        <w:spacing w:line="360" w:lineRule="auto"/>
        <w:jc w:val="both"/>
        <w:rPr>
          <w:b/>
          <w:sz w:val="24"/>
          <w:szCs w:val="24"/>
        </w:rPr>
      </w:pPr>
      <w:r w:rsidRPr="00902A15">
        <w:rPr>
          <w:b/>
          <w:sz w:val="24"/>
          <w:szCs w:val="24"/>
        </w:rPr>
        <w:t>3</w:t>
      </w:r>
      <w:r w:rsidRPr="00902A15">
        <w:rPr>
          <w:b/>
          <w:sz w:val="24"/>
          <w:szCs w:val="24"/>
        </w:rPr>
        <w:tab/>
        <w:t>CONCLUSÃO</w:t>
      </w:r>
    </w:p>
    <w:p w14:paraId="5C29F2DB" w14:textId="3A002E93" w:rsidR="00AE0C08" w:rsidRPr="00AE0C08" w:rsidRDefault="00AE0C08" w:rsidP="00AE0C08">
      <w:pPr>
        <w:spacing w:line="360" w:lineRule="auto"/>
        <w:ind w:firstLine="720"/>
        <w:jc w:val="both"/>
        <w:rPr>
          <w:sz w:val="24"/>
          <w:szCs w:val="24"/>
        </w:rPr>
      </w:pPr>
      <w:r w:rsidRPr="00AE0C08">
        <w:rPr>
          <w:sz w:val="24"/>
          <w:szCs w:val="24"/>
        </w:rPr>
        <w:t xml:space="preserve">Este artigo buscou analisar a composição da receita tributária e seus impactos sobre </w:t>
      </w:r>
      <w:r>
        <w:rPr>
          <w:sz w:val="24"/>
          <w:szCs w:val="24"/>
        </w:rPr>
        <w:t>os níveis de renda de</w:t>
      </w:r>
      <w:r w:rsidRPr="00AE0C08">
        <w:rPr>
          <w:sz w:val="24"/>
          <w:szCs w:val="24"/>
        </w:rPr>
        <w:t xml:space="preserve"> diferentes classes sociais nos estados da Bahia, Ceará e Pernambuco no biênio 2023–2024, a partir da perspectiva crítica da economia política. Os dados orçamentários evidenciam a persistente predominância dos impostos indiretos, sobretudo o ICMS, cuja natureza regressiva impõe maior peso fiscal sobre as camadas de menor renda, que destinam grande parte de seus recursos ao consumo de bens essenciais.</w:t>
      </w:r>
    </w:p>
    <w:p w14:paraId="5056ABE0" w14:textId="0AE31873" w:rsidR="00AE0C08" w:rsidRPr="00AE0C08" w:rsidRDefault="00AE0C08" w:rsidP="00AE0C08">
      <w:pPr>
        <w:spacing w:line="360" w:lineRule="auto"/>
        <w:ind w:firstLine="720"/>
        <w:jc w:val="both"/>
        <w:rPr>
          <w:sz w:val="24"/>
          <w:szCs w:val="24"/>
        </w:rPr>
      </w:pPr>
      <w:r w:rsidRPr="00AE0C08">
        <w:rPr>
          <w:sz w:val="24"/>
          <w:szCs w:val="24"/>
        </w:rPr>
        <w:t xml:space="preserve">Embora a Bahia </w:t>
      </w:r>
      <w:r>
        <w:rPr>
          <w:sz w:val="24"/>
          <w:szCs w:val="24"/>
        </w:rPr>
        <w:t xml:space="preserve">tivesse a maior </w:t>
      </w:r>
      <w:r w:rsidRPr="00AE0C08">
        <w:rPr>
          <w:sz w:val="24"/>
          <w:szCs w:val="24"/>
        </w:rPr>
        <w:t xml:space="preserve">arrecadação total, </w:t>
      </w:r>
      <w:r>
        <w:rPr>
          <w:sz w:val="24"/>
          <w:szCs w:val="24"/>
        </w:rPr>
        <w:t>se viu</w:t>
      </w:r>
      <w:r w:rsidRPr="00AE0C08">
        <w:rPr>
          <w:sz w:val="24"/>
          <w:szCs w:val="24"/>
        </w:rPr>
        <w:t xml:space="preserve"> queda real em seu montante, enquanto o Ceará se destacou por apresentar crescimento real na receita tributária e menor proporção de repasses e deduções, garantindo maior retenção de recursos no âmbito estadual. Pernambuco, por sua vez, enfrentou redução significativa na receita tributária, refletindo a vulnerabilidade fiscal do estado diante da dependência de repasses e incentivos fiscais. Em todos os casos, contudo, a forte dependência da tributação indireta reforça a lógica regressiva do sistema tributário estadual, comprometendo a capacidade distributiva e ampliando as desigualdades sociais.</w:t>
      </w:r>
    </w:p>
    <w:p w14:paraId="7E7E5925" w14:textId="3DD78955" w:rsidR="008F14B8" w:rsidRPr="00902A15" w:rsidRDefault="00AE0C08" w:rsidP="0072508D">
      <w:pPr>
        <w:spacing w:line="360" w:lineRule="auto"/>
        <w:ind w:firstLine="720"/>
        <w:jc w:val="both"/>
        <w:rPr>
          <w:sz w:val="24"/>
          <w:szCs w:val="24"/>
        </w:rPr>
      </w:pPr>
      <w:r w:rsidRPr="00AE0C08">
        <w:rPr>
          <w:sz w:val="24"/>
          <w:szCs w:val="24"/>
        </w:rPr>
        <w:t xml:space="preserve">Os resultados apontam que, mesmo nos níveis subnacionais, a formação do fundo público não é neutra, mas expressa as contradições da luta de classes e as correlações de força que privilegiam os interesses da classe dominante em detrimento das camadas trabalhadoras. Dessa forma, a análise crítica da estrutura tributária se mostra </w:t>
      </w:r>
      <w:r w:rsidR="007E33A8">
        <w:rPr>
          <w:sz w:val="24"/>
          <w:szCs w:val="24"/>
        </w:rPr>
        <w:t>fundamental</w:t>
      </w:r>
      <w:r w:rsidRPr="00AE0C08">
        <w:rPr>
          <w:sz w:val="24"/>
          <w:szCs w:val="24"/>
        </w:rPr>
        <w:t xml:space="preserve"> para a compreensão d</w:t>
      </w:r>
      <w:r w:rsidR="007E33A8">
        <w:rPr>
          <w:sz w:val="24"/>
          <w:szCs w:val="24"/>
        </w:rPr>
        <w:t xml:space="preserve">as estruturas </w:t>
      </w:r>
      <w:r w:rsidRPr="00AE0C08">
        <w:rPr>
          <w:sz w:val="24"/>
          <w:szCs w:val="24"/>
        </w:rPr>
        <w:t>que reproduzem a desigualdade social e para a construção de propostas que avancem na justiça fiscal e na redistribuição de renda nos estados.</w:t>
      </w:r>
    </w:p>
    <w:p w14:paraId="339BE4BF" w14:textId="77777777" w:rsidR="009B55CA" w:rsidRDefault="009B55CA" w:rsidP="009B55CA">
      <w:pPr>
        <w:spacing w:line="360" w:lineRule="auto"/>
        <w:rPr>
          <w:b/>
          <w:sz w:val="24"/>
          <w:szCs w:val="24"/>
        </w:rPr>
      </w:pPr>
    </w:p>
    <w:p w14:paraId="50DE6EE4" w14:textId="15FA04EE" w:rsidR="008F14B8" w:rsidRPr="00902A15" w:rsidRDefault="000370DE" w:rsidP="009B55CA">
      <w:pPr>
        <w:spacing w:line="360" w:lineRule="auto"/>
        <w:rPr>
          <w:b/>
          <w:sz w:val="24"/>
          <w:szCs w:val="24"/>
        </w:rPr>
      </w:pPr>
      <w:r w:rsidRPr="00902A15">
        <w:rPr>
          <w:b/>
          <w:sz w:val="24"/>
          <w:szCs w:val="24"/>
        </w:rPr>
        <w:t xml:space="preserve">REFERÊNCIAS </w:t>
      </w:r>
    </w:p>
    <w:bookmarkEnd w:id="1"/>
    <w:p w14:paraId="522A4C5E" w14:textId="77777777" w:rsidR="003545ED" w:rsidRPr="00961D16" w:rsidRDefault="003545ED" w:rsidP="002A7634">
      <w:pPr>
        <w:spacing w:line="240" w:lineRule="auto"/>
        <w:rPr>
          <w:sz w:val="24"/>
          <w:szCs w:val="24"/>
        </w:rPr>
      </w:pPr>
      <w:r w:rsidRPr="00961D16">
        <w:rPr>
          <w:color w:val="000000" w:themeColor="text1"/>
          <w:sz w:val="24"/>
          <w:szCs w:val="24"/>
        </w:rPr>
        <w:t xml:space="preserve">ALENCAR JÚNIOR, Osmar Gomes de. </w:t>
      </w:r>
      <w:r w:rsidRPr="00961D16">
        <w:rPr>
          <w:b/>
          <w:bCs/>
          <w:sz w:val="24"/>
          <w:szCs w:val="24"/>
        </w:rPr>
        <w:t>A disputa entre capital e trabalho no fundo público: um estudo da Região Nordeste (2002–2015)</w:t>
      </w:r>
      <w:r w:rsidRPr="00961D16">
        <w:rPr>
          <w:sz w:val="24"/>
          <w:szCs w:val="24"/>
        </w:rPr>
        <w:t>. 2018. 248 f. Tese (Doutorado em Política Social) – Universidade de Brasília, Brasília, 2018.</w:t>
      </w:r>
    </w:p>
    <w:p w14:paraId="042515DC" w14:textId="77777777" w:rsidR="000A67E1" w:rsidRPr="00961D16" w:rsidRDefault="000A67E1" w:rsidP="002A7634">
      <w:pPr>
        <w:spacing w:line="240" w:lineRule="auto"/>
        <w:ind w:left="357"/>
        <w:rPr>
          <w:sz w:val="24"/>
          <w:szCs w:val="24"/>
        </w:rPr>
      </w:pPr>
    </w:p>
    <w:p w14:paraId="3BC09E45" w14:textId="77777777" w:rsidR="003545ED" w:rsidRPr="00961D16" w:rsidRDefault="003545ED" w:rsidP="002A7634">
      <w:pPr>
        <w:spacing w:line="240" w:lineRule="auto"/>
        <w:rPr>
          <w:sz w:val="24"/>
          <w:szCs w:val="24"/>
        </w:rPr>
      </w:pPr>
      <w:r w:rsidRPr="00961D16">
        <w:rPr>
          <w:sz w:val="24"/>
          <w:szCs w:val="24"/>
        </w:rPr>
        <w:t xml:space="preserve">ALENCAR JÚNIOR, Osmar Gomes de. </w:t>
      </w:r>
      <w:r w:rsidRPr="00961D16">
        <w:rPr>
          <w:b/>
          <w:bCs/>
          <w:sz w:val="24"/>
          <w:szCs w:val="24"/>
        </w:rPr>
        <w:t>Estado e fundo público</w:t>
      </w:r>
      <w:r w:rsidRPr="00961D16">
        <w:rPr>
          <w:sz w:val="24"/>
          <w:szCs w:val="24"/>
        </w:rPr>
        <w:t>: a disputa entre capital e trabalho no Nordeste do Brasil. Curitiba: CRV, 2021.</w:t>
      </w:r>
    </w:p>
    <w:p w14:paraId="0FB0AB59" w14:textId="77777777" w:rsidR="000A67E1" w:rsidRPr="00961D16" w:rsidRDefault="000A67E1" w:rsidP="002A7634">
      <w:pPr>
        <w:spacing w:line="240" w:lineRule="auto"/>
        <w:ind w:left="357"/>
        <w:rPr>
          <w:sz w:val="24"/>
          <w:szCs w:val="24"/>
        </w:rPr>
      </w:pPr>
    </w:p>
    <w:p w14:paraId="67849B06" w14:textId="77777777" w:rsidR="003545ED" w:rsidRPr="00961D16" w:rsidRDefault="003545ED" w:rsidP="002A7634">
      <w:pPr>
        <w:spacing w:line="240" w:lineRule="auto"/>
        <w:rPr>
          <w:sz w:val="24"/>
          <w:szCs w:val="24"/>
        </w:rPr>
      </w:pPr>
      <w:r w:rsidRPr="00961D16">
        <w:rPr>
          <w:sz w:val="24"/>
          <w:szCs w:val="24"/>
        </w:rPr>
        <w:t xml:space="preserve">BAHIA (Estado). Secretaria da Fazenda. </w:t>
      </w:r>
      <w:r w:rsidRPr="00961D16">
        <w:rPr>
          <w:b/>
          <w:bCs/>
          <w:sz w:val="24"/>
          <w:szCs w:val="24"/>
        </w:rPr>
        <w:t>Balanço Geral do Estado da Bahia</w:t>
      </w:r>
      <w:r w:rsidRPr="00961D16">
        <w:rPr>
          <w:sz w:val="24"/>
          <w:szCs w:val="24"/>
        </w:rPr>
        <w:t xml:space="preserve"> – Exercício 2023 e 2024. Salvador: SEFAZ-BA, 2024. Disponível em:</w:t>
      </w:r>
      <w:hyperlink r:id="rId13" w:history="1">
        <w:r w:rsidRPr="00961D16">
          <w:rPr>
            <w:rStyle w:val="Hyperlink"/>
            <w:sz w:val="24"/>
            <w:szCs w:val="24"/>
          </w:rPr>
          <w:t xml:space="preserve"> https://www.sefaz.ba.gov.br</w:t>
        </w:r>
      </w:hyperlink>
      <w:r w:rsidRPr="00961D16">
        <w:rPr>
          <w:sz w:val="24"/>
          <w:szCs w:val="24"/>
        </w:rPr>
        <w:t>. Acesso em: 30 jun. 2025.</w:t>
      </w:r>
    </w:p>
    <w:p w14:paraId="28FFFB70" w14:textId="77777777" w:rsidR="000A67E1" w:rsidRPr="00961D16" w:rsidRDefault="000A67E1" w:rsidP="002A7634">
      <w:pPr>
        <w:spacing w:line="240" w:lineRule="auto"/>
        <w:ind w:left="357"/>
        <w:rPr>
          <w:sz w:val="24"/>
          <w:szCs w:val="24"/>
        </w:rPr>
      </w:pPr>
    </w:p>
    <w:p w14:paraId="653C2CD7" w14:textId="77777777" w:rsidR="003545ED" w:rsidRPr="00961D16" w:rsidRDefault="003545ED" w:rsidP="002A7634">
      <w:pPr>
        <w:spacing w:line="240" w:lineRule="auto"/>
        <w:rPr>
          <w:sz w:val="24"/>
          <w:szCs w:val="24"/>
        </w:rPr>
      </w:pPr>
      <w:r w:rsidRPr="00961D16">
        <w:rPr>
          <w:sz w:val="24"/>
          <w:szCs w:val="24"/>
        </w:rPr>
        <w:t xml:space="preserve">CEARÁ (Estado). Secretaria da Fazenda. </w:t>
      </w:r>
      <w:r w:rsidRPr="00961D16">
        <w:rPr>
          <w:b/>
          <w:bCs/>
          <w:sz w:val="24"/>
          <w:szCs w:val="24"/>
        </w:rPr>
        <w:t>Balanço Geral do Estado do Ceará</w:t>
      </w:r>
      <w:r w:rsidRPr="00961D16">
        <w:rPr>
          <w:sz w:val="24"/>
          <w:szCs w:val="24"/>
        </w:rPr>
        <w:t xml:space="preserve"> – Exercício 2023 e 2024. Fortaleza: SEFAZ-CE, 2024. Disponível em:</w:t>
      </w:r>
      <w:hyperlink r:id="rId14" w:history="1">
        <w:r w:rsidRPr="00961D16">
          <w:rPr>
            <w:rStyle w:val="Hyperlink"/>
            <w:sz w:val="24"/>
            <w:szCs w:val="24"/>
          </w:rPr>
          <w:t xml:space="preserve"> https://www.sefaz.ce.gov.br</w:t>
        </w:r>
      </w:hyperlink>
      <w:r w:rsidRPr="00961D16">
        <w:rPr>
          <w:sz w:val="24"/>
          <w:szCs w:val="24"/>
        </w:rPr>
        <w:t>. Acesso em: 30 jun. 2025.</w:t>
      </w:r>
    </w:p>
    <w:p w14:paraId="4AAC9733" w14:textId="77777777" w:rsidR="000A67E1" w:rsidRPr="00961D16" w:rsidRDefault="000A67E1" w:rsidP="002A7634">
      <w:pPr>
        <w:spacing w:line="240" w:lineRule="auto"/>
        <w:ind w:left="357"/>
        <w:rPr>
          <w:sz w:val="24"/>
          <w:szCs w:val="24"/>
        </w:rPr>
      </w:pPr>
    </w:p>
    <w:p w14:paraId="50911104" w14:textId="28232348" w:rsidR="003545ED" w:rsidRPr="00961D16" w:rsidRDefault="00851563" w:rsidP="002A7634">
      <w:pPr>
        <w:spacing w:line="240" w:lineRule="auto"/>
        <w:rPr>
          <w:sz w:val="24"/>
          <w:szCs w:val="24"/>
        </w:rPr>
      </w:pPr>
      <w:r w:rsidRPr="00851563">
        <w:rPr>
          <w:sz w:val="24"/>
          <w:szCs w:val="24"/>
        </w:rPr>
        <w:t xml:space="preserve">ENGELS, Friedrich. </w:t>
      </w:r>
      <w:r w:rsidRPr="00851563">
        <w:rPr>
          <w:b/>
          <w:bCs/>
          <w:sz w:val="24"/>
          <w:szCs w:val="24"/>
        </w:rPr>
        <w:t>A origem da família, da propriedade privada e do Estado.</w:t>
      </w:r>
      <w:r w:rsidRPr="00851563">
        <w:rPr>
          <w:sz w:val="24"/>
          <w:szCs w:val="24"/>
        </w:rPr>
        <w:t xml:space="preserve"> 12. ed. Rio de Janeiro: Bertrand Brasil, 1985</w:t>
      </w:r>
      <w:r w:rsidR="003545ED" w:rsidRPr="00961D16">
        <w:rPr>
          <w:sz w:val="24"/>
          <w:szCs w:val="24"/>
        </w:rPr>
        <w:t>.</w:t>
      </w:r>
    </w:p>
    <w:p w14:paraId="55DF3814" w14:textId="77777777" w:rsidR="00B00FF3" w:rsidRPr="00961D16" w:rsidRDefault="00B00FF3" w:rsidP="002A7634">
      <w:pPr>
        <w:spacing w:line="240" w:lineRule="auto"/>
        <w:rPr>
          <w:sz w:val="24"/>
          <w:szCs w:val="24"/>
        </w:rPr>
      </w:pPr>
    </w:p>
    <w:p w14:paraId="4A89CBA5" w14:textId="29950AF0" w:rsidR="00B00FF3" w:rsidRPr="00961D16" w:rsidRDefault="00B00FF3" w:rsidP="002A7634">
      <w:pPr>
        <w:spacing w:line="240" w:lineRule="auto"/>
        <w:rPr>
          <w:sz w:val="24"/>
          <w:szCs w:val="24"/>
        </w:rPr>
      </w:pPr>
      <w:r w:rsidRPr="00961D16">
        <w:rPr>
          <w:sz w:val="24"/>
          <w:szCs w:val="24"/>
        </w:rPr>
        <w:t xml:space="preserve">FOLHA DE PERNAMBUCO. </w:t>
      </w:r>
      <w:r w:rsidRPr="00961D16">
        <w:rPr>
          <w:b/>
          <w:bCs/>
          <w:sz w:val="24"/>
          <w:szCs w:val="24"/>
        </w:rPr>
        <w:t>Redução do IPVA em Pernambuco resulta em economia de R$ 504 milhões aos contribuintes.</w:t>
      </w:r>
      <w:r w:rsidRPr="00961D16">
        <w:rPr>
          <w:sz w:val="24"/>
          <w:szCs w:val="24"/>
        </w:rPr>
        <w:t xml:space="preserve"> 5 jan. 2024. Disponível em: </w:t>
      </w:r>
      <w:hyperlink r:id="rId15" w:tgtFrame="_new" w:history="1">
        <w:r w:rsidRPr="00961D16">
          <w:rPr>
            <w:rStyle w:val="Hyperlink"/>
            <w:sz w:val="24"/>
            <w:szCs w:val="24"/>
          </w:rPr>
          <w:t>https://www.folhape.com.br/economia/reducao-do-ipva-em-pernambuco-resulta-em-economia-de-r-504-milhoes-a/328721/</w:t>
        </w:r>
      </w:hyperlink>
      <w:r w:rsidRPr="00961D16">
        <w:rPr>
          <w:sz w:val="24"/>
          <w:szCs w:val="24"/>
        </w:rPr>
        <w:t>. Acesso em: 1 jun. 2025.</w:t>
      </w:r>
    </w:p>
    <w:p w14:paraId="695D1CB8" w14:textId="77777777" w:rsidR="000A67E1" w:rsidRPr="00961D16" w:rsidRDefault="000A67E1" w:rsidP="002A7634">
      <w:pPr>
        <w:spacing w:line="240" w:lineRule="auto"/>
        <w:ind w:left="357"/>
        <w:rPr>
          <w:sz w:val="24"/>
          <w:szCs w:val="24"/>
        </w:rPr>
      </w:pPr>
    </w:p>
    <w:p w14:paraId="6EC0090B" w14:textId="5827E667" w:rsidR="000A67E1" w:rsidRPr="00961D16" w:rsidRDefault="003545ED" w:rsidP="002A7634">
      <w:pPr>
        <w:spacing w:line="240" w:lineRule="auto"/>
        <w:rPr>
          <w:sz w:val="24"/>
          <w:szCs w:val="24"/>
        </w:rPr>
      </w:pPr>
      <w:r w:rsidRPr="00961D16">
        <w:rPr>
          <w:sz w:val="24"/>
          <w:szCs w:val="24"/>
        </w:rPr>
        <w:t xml:space="preserve">LENIN, Vladimir Ilitch. </w:t>
      </w:r>
      <w:r w:rsidRPr="00961D16">
        <w:rPr>
          <w:b/>
          <w:bCs/>
          <w:sz w:val="24"/>
          <w:szCs w:val="24"/>
        </w:rPr>
        <w:t>O Estado e a revolução</w:t>
      </w:r>
      <w:r w:rsidRPr="00961D16">
        <w:rPr>
          <w:sz w:val="24"/>
          <w:szCs w:val="24"/>
        </w:rPr>
        <w:t>. São Paulo: Boitempo, 2017.</w:t>
      </w:r>
    </w:p>
    <w:p w14:paraId="0F89F7B9" w14:textId="77777777" w:rsidR="009B55CA" w:rsidRPr="00961D16" w:rsidRDefault="009B55CA" w:rsidP="002A7634">
      <w:pPr>
        <w:spacing w:line="240" w:lineRule="auto"/>
        <w:rPr>
          <w:sz w:val="24"/>
          <w:szCs w:val="24"/>
        </w:rPr>
      </w:pPr>
    </w:p>
    <w:p w14:paraId="199669A5" w14:textId="36B9C366" w:rsidR="003545ED" w:rsidRPr="00961D16" w:rsidRDefault="003545ED" w:rsidP="002A7634">
      <w:pPr>
        <w:spacing w:line="240" w:lineRule="auto"/>
        <w:rPr>
          <w:sz w:val="24"/>
          <w:szCs w:val="24"/>
        </w:rPr>
      </w:pPr>
      <w:r w:rsidRPr="00961D16">
        <w:rPr>
          <w:sz w:val="24"/>
          <w:szCs w:val="24"/>
        </w:rPr>
        <w:t xml:space="preserve">MANDEL, Ernest. </w:t>
      </w:r>
      <w:r w:rsidRPr="00961D16">
        <w:rPr>
          <w:b/>
          <w:bCs/>
          <w:sz w:val="24"/>
          <w:szCs w:val="24"/>
        </w:rPr>
        <w:t>O capitalismo tardio</w:t>
      </w:r>
      <w:r w:rsidRPr="00961D16">
        <w:rPr>
          <w:sz w:val="24"/>
          <w:szCs w:val="24"/>
        </w:rPr>
        <w:t>: um ensaio sobre a ordem econômica internacional. Tradução de Carlos Eduardo Silveira Matos, Régis de Castro Andrade e Dinah de Abreu Azevedo. São Paulo: Nova Cultural, 1982.</w:t>
      </w:r>
    </w:p>
    <w:p w14:paraId="5388D3D8" w14:textId="77777777" w:rsidR="009B55CA" w:rsidRPr="00961D16" w:rsidRDefault="009B55CA" w:rsidP="002A7634">
      <w:pPr>
        <w:spacing w:line="240" w:lineRule="auto"/>
        <w:rPr>
          <w:sz w:val="24"/>
          <w:szCs w:val="24"/>
        </w:rPr>
      </w:pPr>
    </w:p>
    <w:p w14:paraId="5EACE5B8" w14:textId="77777777" w:rsidR="009B55CA" w:rsidRPr="00961D16" w:rsidRDefault="003545ED" w:rsidP="002A7634">
      <w:pPr>
        <w:spacing w:line="240" w:lineRule="auto"/>
        <w:rPr>
          <w:sz w:val="24"/>
          <w:szCs w:val="24"/>
        </w:rPr>
      </w:pPr>
      <w:r w:rsidRPr="00961D16">
        <w:rPr>
          <w:sz w:val="24"/>
          <w:szCs w:val="24"/>
        </w:rPr>
        <w:t xml:space="preserve">MARX, Karl. </w:t>
      </w:r>
      <w:r w:rsidRPr="00961D16">
        <w:rPr>
          <w:b/>
          <w:bCs/>
          <w:sz w:val="24"/>
          <w:szCs w:val="24"/>
        </w:rPr>
        <w:t>O capital</w:t>
      </w:r>
      <w:r w:rsidRPr="00961D16">
        <w:rPr>
          <w:sz w:val="24"/>
          <w:szCs w:val="24"/>
        </w:rPr>
        <w:t>: crítica da economia política. Livro I. São Paulo: Boitempo, 2015.</w:t>
      </w:r>
    </w:p>
    <w:p w14:paraId="5318C16C" w14:textId="77777777" w:rsidR="009B55CA" w:rsidRPr="00961D16" w:rsidRDefault="009B55CA" w:rsidP="002A7634">
      <w:pPr>
        <w:spacing w:line="240" w:lineRule="auto"/>
        <w:rPr>
          <w:sz w:val="24"/>
          <w:szCs w:val="24"/>
        </w:rPr>
      </w:pPr>
    </w:p>
    <w:p w14:paraId="7EC32D13" w14:textId="29F5BB22" w:rsidR="003545ED" w:rsidRPr="00961D16" w:rsidRDefault="003545ED" w:rsidP="002A7634">
      <w:pPr>
        <w:spacing w:line="240" w:lineRule="auto"/>
        <w:rPr>
          <w:sz w:val="24"/>
          <w:szCs w:val="24"/>
        </w:rPr>
      </w:pPr>
      <w:r w:rsidRPr="00961D16">
        <w:rPr>
          <w:sz w:val="24"/>
          <w:szCs w:val="24"/>
        </w:rPr>
        <w:t xml:space="preserve">MÉSZÁROS, István. </w:t>
      </w:r>
      <w:r w:rsidRPr="00961D16">
        <w:rPr>
          <w:b/>
          <w:bCs/>
          <w:sz w:val="24"/>
          <w:szCs w:val="24"/>
        </w:rPr>
        <w:t>Para além do capital</w:t>
      </w:r>
      <w:r w:rsidRPr="00961D16">
        <w:rPr>
          <w:sz w:val="24"/>
          <w:szCs w:val="24"/>
        </w:rPr>
        <w:t>. São Paulo: Boitempo, 2002.</w:t>
      </w:r>
    </w:p>
    <w:p w14:paraId="468E27B5" w14:textId="77777777" w:rsidR="009B55CA" w:rsidRPr="00961D16" w:rsidRDefault="009B55CA" w:rsidP="002A7634">
      <w:pPr>
        <w:spacing w:line="240" w:lineRule="auto"/>
        <w:rPr>
          <w:sz w:val="24"/>
          <w:szCs w:val="24"/>
        </w:rPr>
      </w:pPr>
    </w:p>
    <w:p w14:paraId="20A5351B" w14:textId="77C11D4E" w:rsidR="003545ED" w:rsidRPr="00961D16" w:rsidRDefault="003545ED" w:rsidP="002A7634">
      <w:pPr>
        <w:spacing w:line="240" w:lineRule="auto"/>
        <w:rPr>
          <w:sz w:val="24"/>
          <w:szCs w:val="24"/>
        </w:rPr>
      </w:pPr>
      <w:r w:rsidRPr="00961D16">
        <w:rPr>
          <w:sz w:val="24"/>
          <w:szCs w:val="24"/>
        </w:rPr>
        <w:t xml:space="preserve">OLIVEIRA, Fabrício Augusto de. </w:t>
      </w:r>
      <w:r w:rsidRPr="00961D16">
        <w:rPr>
          <w:b/>
          <w:bCs/>
          <w:sz w:val="24"/>
          <w:szCs w:val="24"/>
        </w:rPr>
        <w:t>Economia e política das finanças públicas no Brasil</w:t>
      </w:r>
      <w:r w:rsidRPr="00961D16">
        <w:rPr>
          <w:sz w:val="24"/>
          <w:szCs w:val="24"/>
        </w:rPr>
        <w:t>. 2. ed. São Paulo: Cortez, 2012.</w:t>
      </w:r>
    </w:p>
    <w:p w14:paraId="7DCE1322" w14:textId="77777777" w:rsidR="000A67E1" w:rsidRPr="00961D16" w:rsidRDefault="000A67E1" w:rsidP="002A7634">
      <w:pPr>
        <w:spacing w:line="240" w:lineRule="auto"/>
        <w:ind w:left="357"/>
        <w:rPr>
          <w:sz w:val="24"/>
          <w:szCs w:val="24"/>
        </w:rPr>
      </w:pPr>
    </w:p>
    <w:p w14:paraId="7CF30261" w14:textId="77777777" w:rsidR="003545ED" w:rsidRPr="00961D16" w:rsidRDefault="003545ED" w:rsidP="002A7634">
      <w:pPr>
        <w:spacing w:line="240" w:lineRule="auto"/>
        <w:rPr>
          <w:sz w:val="24"/>
          <w:szCs w:val="24"/>
        </w:rPr>
      </w:pPr>
      <w:r w:rsidRPr="00961D16">
        <w:rPr>
          <w:sz w:val="24"/>
          <w:szCs w:val="24"/>
        </w:rPr>
        <w:t xml:space="preserve">PERNAMBUCO (Estado). Secretaria da Fazenda. </w:t>
      </w:r>
      <w:r w:rsidRPr="00961D16">
        <w:rPr>
          <w:b/>
          <w:bCs/>
          <w:sz w:val="24"/>
          <w:szCs w:val="24"/>
        </w:rPr>
        <w:t>Balanço Geral do Estado de Pernambuco</w:t>
      </w:r>
      <w:r w:rsidRPr="00961D16">
        <w:rPr>
          <w:sz w:val="24"/>
          <w:szCs w:val="24"/>
        </w:rPr>
        <w:t xml:space="preserve"> – Exercício 2023 e 2024. Recife: SEFAZ-PE, 2024. Disponível em:</w:t>
      </w:r>
      <w:hyperlink r:id="rId16" w:history="1">
        <w:r w:rsidRPr="00961D16">
          <w:rPr>
            <w:rStyle w:val="Hyperlink"/>
            <w:sz w:val="24"/>
            <w:szCs w:val="24"/>
          </w:rPr>
          <w:t xml:space="preserve"> https://www.sefaz.pe.gov.br</w:t>
        </w:r>
      </w:hyperlink>
      <w:r w:rsidRPr="00961D16">
        <w:rPr>
          <w:sz w:val="24"/>
          <w:szCs w:val="24"/>
        </w:rPr>
        <w:t>. Acesso em: 30 jun. 2025.</w:t>
      </w:r>
    </w:p>
    <w:p w14:paraId="39CAC8E1" w14:textId="77777777" w:rsidR="000A67E1" w:rsidRPr="00961D16" w:rsidRDefault="000A67E1" w:rsidP="002A7634">
      <w:pPr>
        <w:spacing w:line="240" w:lineRule="auto"/>
        <w:ind w:left="357"/>
        <w:rPr>
          <w:sz w:val="24"/>
          <w:szCs w:val="24"/>
        </w:rPr>
      </w:pPr>
    </w:p>
    <w:p w14:paraId="11AF3E93" w14:textId="77777777" w:rsidR="003545ED" w:rsidRPr="00961D16" w:rsidRDefault="003545ED" w:rsidP="002A7634">
      <w:pPr>
        <w:spacing w:line="240" w:lineRule="auto"/>
        <w:rPr>
          <w:sz w:val="24"/>
          <w:szCs w:val="24"/>
        </w:rPr>
      </w:pPr>
      <w:r w:rsidRPr="00961D16">
        <w:rPr>
          <w:sz w:val="24"/>
          <w:szCs w:val="24"/>
        </w:rPr>
        <w:t xml:space="preserve">POULANTZAS, Nicos. </w:t>
      </w:r>
      <w:r w:rsidRPr="00961D16">
        <w:rPr>
          <w:b/>
          <w:bCs/>
          <w:sz w:val="24"/>
          <w:szCs w:val="24"/>
        </w:rPr>
        <w:t>O Estado, o poder e o socialismo</w:t>
      </w:r>
      <w:r w:rsidRPr="00961D16">
        <w:rPr>
          <w:sz w:val="24"/>
          <w:szCs w:val="24"/>
        </w:rPr>
        <w:t>. Rio de Janeiro: Graal, 1978.</w:t>
      </w:r>
    </w:p>
    <w:p w14:paraId="33334BC6" w14:textId="77777777" w:rsidR="000A67E1" w:rsidRPr="00961D16" w:rsidRDefault="000A67E1" w:rsidP="002A7634">
      <w:pPr>
        <w:spacing w:line="240" w:lineRule="auto"/>
        <w:ind w:left="357"/>
        <w:rPr>
          <w:sz w:val="24"/>
          <w:szCs w:val="24"/>
        </w:rPr>
      </w:pPr>
    </w:p>
    <w:p w14:paraId="0B004048" w14:textId="77777777" w:rsidR="003545ED" w:rsidRPr="00961D16" w:rsidRDefault="003545ED" w:rsidP="002A7634">
      <w:pPr>
        <w:spacing w:line="240" w:lineRule="auto"/>
        <w:rPr>
          <w:sz w:val="24"/>
          <w:szCs w:val="24"/>
        </w:rPr>
      </w:pPr>
      <w:r w:rsidRPr="00961D16">
        <w:rPr>
          <w:sz w:val="24"/>
          <w:szCs w:val="24"/>
        </w:rPr>
        <w:t xml:space="preserve">SALVADOR, Evilásio. </w:t>
      </w:r>
      <w:r w:rsidRPr="00961D16">
        <w:rPr>
          <w:b/>
          <w:bCs/>
          <w:sz w:val="24"/>
          <w:szCs w:val="24"/>
        </w:rPr>
        <w:t>Fundo público e seguridade social no Brasil</w:t>
      </w:r>
      <w:r w:rsidRPr="00961D16">
        <w:rPr>
          <w:sz w:val="24"/>
          <w:szCs w:val="24"/>
        </w:rPr>
        <w:t>. São Paulo: Cortez, 2010.</w:t>
      </w:r>
    </w:p>
    <w:p w14:paraId="4ECBF913" w14:textId="77777777" w:rsidR="000A67E1" w:rsidRPr="00961D16" w:rsidRDefault="000A67E1" w:rsidP="002A7634">
      <w:pPr>
        <w:spacing w:line="240" w:lineRule="auto"/>
        <w:ind w:left="357"/>
        <w:rPr>
          <w:sz w:val="24"/>
          <w:szCs w:val="24"/>
        </w:rPr>
      </w:pPr>
    </w:p>
    <w:p w14:paraId="235D49B3" w14:textId="179E938D" w:rsidR="008224E7" w:rsidRPr="00162AB2" w:rsidRDefault="00162AB2" w:rsidP="00162AB2">
      <w:pPr>
        <w:spacing w:line="240" w:lineRule="auto"/>
        <w:rPr>
          <w:sz w:val="24"/>
          <w:szCs w:val="24"/>
        </w:rPr>
      </w:pPr>
      <w:r w:rsidRPr="00162AB2">
        <w:rPr>
          <w:sz w:val="24"/>
          <w:szCs w:val="24"/>
        </w:rPr>
        <w:t xml:space="preserve">SALVADOR, Evilásio; TEIXEIRA, Sônia Maria. </w:t>
      </w:r>
      <w:r w:rsidRPr="002C7089">
        <w:rPr>
          <w:b/>
          <w:bCs/>
          <w:sz w:val="24"/>
          <w:szCs w:val="24"/>
        </w:rPr>
        <w:t>Orçamento e políticas sociais: metodologia de análise na perspectiva crítica</w:t>
      </w:r>
      <w:r w:rsidRPr="00162AB2">
        <w:rPr>
          <w:sz w:val="24"/>
          <w:szCs w:val="24"/>
        </w:rPr>
        <w:t xml:space="preserve">. Revista de Políticas Públicas, São Luís, v. 18, n. 1, p. 11–33, jan./jun. 2014. Disponível em: </w:t>
      </w:r>
      <w:hyperlink r:id="rId17" w:history="1">
        <w:r w:rsidRPr="00EE7011">
          <w:rPr>
            <w:rStyle w:val="Hyperlink"/>
            <w:sz w:val="24"/>
            <w:szCs w:val="24"/>
          </w:rPr>
          <w:t>https://www.redalyc.org/pdf/3211/321131780002.pdf</w:t>
        </w:r>
      </w:hyperlink>
      <w:r w:rsidRPr="00162AB2">
        <w:rPr>
          <w:sz w:val="24"/>
          <w:szCs w:val="24"/>
        </w:rPr>
        <w:t>. Acesso em: 6 jul. 2025.</w:t>
      </w:r>
    </w:p>
    <w:p w14:paraId="521B00F5" w14:textId="77777777" w:rsidR="00220BAA" w:rsidRPr="004C33CD" w:rsidRDefault="00220BAA">
      <w:pPr>
        <w:spacing w:after="200"/>
        <w:jc w:val="both"/>
        <w:rPr>
          <w:rFonts w:eastAsia="Calibri"/>
          <w:sz w:val="24"/>
          <w:szCs w:val="24"/>
        </w:rPr>
      </w:pPr>
    </w:p>
    <w:sectPr w:rsidR="00220BAA" w:rsidRPr="004C33CD" w:rsidSect="004C33CD">
      <w:headerReference w:type="default" r:id="rId18"/>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1F5B5" w14:textId="77777777" w:rsidR="00BC7FB4" w:rsidRDefault="00BC7FB4">
      <w:pPr>
        <w:spacing w:line="240" w:lineRule="auto"/>
      </w:pPr>
      <w:r>
        <w:separator/>
      </w:r>
    </w:p>
  </w:endnote>
  <w:endnote w:type="continuationSeparator" w:id="0">
    <w:p w14:paraId="5C9B11B0" w14:textId="77777777" w:rsidR="00BC7FB4" w:rsidRDefault="00B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5E80D" w14:textId="77777777" w:rsidR="00BC7FB4" w:rsidRDefault="00BC7FB4">
      <w:pPr>
        <w:spacing w:line="240" w:lineRule="auto"/>
      </w:pPr>
      <w:r>
        <w:separator/>
      </w:r>
    </w:p>
  </w:footnote>
  <w:footnote w:type="continuationSeparator" w:id="0">
    <w:p w14:paraId="22E63B3F" w14:textId="77777777" w:rsidR="00BC7FB4" w:rsidRDefault="00BC7FB4">
      <w:pPr>
        <w:spacing w:line="240" w:lineRule="auto"/>
      </w:pPr>
      <w:r>
        <w:continuationSeparator/>
      </w:r>
    </w:p>
  </w:footnote>
  <w:footnote w:id="1">
    <w:p w14:paraId="4EE802F0" w14:textId="76B50573" w:rsidR="00247281" w:rsidRDefault="00247281">
      <w:pPr>
        <w:pStyle w:val="Textodenotaderodap"/>
      </w:pPr>
      <w:r>
        <w:rPr>
          <w:rStyle w:val="Refdenotaderodap"/>
        </w:rPr>
        <w:footnoteRef/>
      </w:r>
      <w:r>
        <w:t xml:space="preserve"> </w:t>
      </w:r>
      <w:r w:rsidR="001232E6">
        <w:t>UFDPar</w:t>
      </w:r>
      <w:r w:rsidR="006E0BE5">
        <w:t xml:space="preserve">, graduanda em </w:t>
      </w:r>
      <w:r w:rsidR="00755843">
        <w:t>C</w:t>
      </w:r>
      <w:r w:rsidR="006E0BE5">
        <w:t xml:space="preserve">iências </w:t>
      </w:r>
      <w:r w:rsidR="00755843">
        <w:t>E</w:t>
      </w:r>
      <w:r w:rsidR="006E0BE5">
        <w:t>conômicas. rayanassantos@ufdpar</w:t>
      </w:r>
      <w:r w:rsidR="005518FA">
        <w:t>.edu.br</w:t>
      </w:r>
    </w:p>
  </w:footnote>
  <w:footnote w:id="2">
    <w:p w14:paraId="18B3D1B5" w14:textId="77E9B3D5" w:rsidR="00482801" w:rsidRDefault="00482801">
      <w:pPr>
        <w:pStyle w:val="Textodenotaderodap"/>
      </w:pPr>
      <w:r>
        <w:rPr>
          <w:rStyle w:val="Refdenotaderodap"/>
        </w:rPr>
        <w:footnoteRef/>
      </w:r>
      <w:r>
        <w:t xml:space="preserve"> UFDPar, graduando em </w:t>
      </w:r>
      <w:r w:rsidR="00755843">
        <w:t>C</w:t>
      </w:r>
      <w:r>
        <w:t xml:space="preserve">iências </w:t>
      </w:r>
      <w:r w:rsidR="00755843">
        <w:t xml:space="preserve">Econômicas. </w:t>
      </w:r>
      <w:r w:rsidR="00636ACD">
        <w:t>hugo.sax2340@gmail.com</w:t>
      </w:r>
    </w:p>
  </w:footnote>
  <w:footnote w:id="3">
    <w:p w14:paraId="51A557B1" w14:textId="76F53DAB" w:rsidR="00866A27" w:rsidRDefault="00866A27">
      <w:pPr>
        <w:pStyle w:val="Textodenotaderodap"/>
      </w:pPr>
      <w:r>
        <w:rPr>
          <w:rStyle w:val="Refdenotaderodap"/>
        </w:rPr>
        <w:footnoteRef/>
      </w:r>
      <w:r>
        <w:t xml:space="preserve"> </w:t>
      </w:r>
      <w:r w:rsidR="008A4EC8">
        <w:t>UFDPar, doutor em Politicas P</w:t>
      </w:r>
      <w:r w:rsidR="008D62FB">
        <w:t>ú</w:t>
      </w:r>
      <w:r w:rsidR="008A4EC8">
        <w:t xml:space="preserve">blicas. </w:t>
      </w:r>
      <w:r w:rsidR="008D62FB">
        <w:t>jrosmar@ufdpar.edu.br</w:t>
      </w:r>
    </w:p>
  </w:footnote>
  <w:footnote w:id="4">
    <w:p w14:paraId="2A5AB3A1" w14:textId="1565D9ED" w:rsidR="008D62FB" w:rsidRDefault="008D62FB">
      <w:pPr>
        <w:pStyle w:val="Textodenotaderodap"/>
      </w:pPr>
      <w:r>
        <w:rPr>
          <w:rStyle w:val="Refdenotaderodap"/>
        </w:rPr>
        <w:footnoteRef/>
      </w:r>
      <w:r>
        <w:t xml:space="preserve"> UFDPar, </w:t>
      </w:r>
      <w:r w:rsidR="004621FB">
        <w:t>doutor em Economia. fabio.gama@ufdpar.edu.br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17A7" w14:textId="77777777" w:rsidR="008F14B8" w:rsidRDefault="000370DE">
    <w:r>
      <w:rPr>
        <w:noProof/>
      </w:rPr>
      <w:drawing>
        <wp:anchor distT="0" distB="0" distL="0" distR="0" simplePos="0" relativeHeight="251658240" behindDoc="1" locked="0" layoutInCell="1" hidden="0" allowOverlap="1" wp14:anchorId="11CB745D" wp14:editId="453BBB92">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0110"/>
    <w:multiLevelType w:val="multilevel"/>
    <w:tmpl w:val="C2FE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C1485"/>
    <w:multiLevelType w:val="hybridMultilevel"/>
    <w:tmpl w:val="102E172C"/>
    <w:lvl w:ilvl="0" w:tplc="E3F0F27C">
      <w:numFmt w:val="bullet"/>
      <w:lvlText w:val=""/>
      <w:lvlJc w:val="left"/>
      <w:pPr>
        <w:ind w:left="720" w:hanging="360"/>
      </w:pPr>
      <w:rPr>
        <w:rFonts w:ascii="Arial" w:eastAsia="Arial"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454225"/>
    <w:multiLevelType w:val="multilevel"/>
    <w:tmpl w:val="9602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70771"/>
    <w:multiLevelType w:val="hybridMultilevel"/>
    <w:tmpl w:val="79648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8317A4B"/>
    <w:multiLevelType w:val="multilevel"/>
    <w:tmpl w:val="CE84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9685573">
    <w:abstractNumId w:val="4"/>
  </w:num>
  <w:num w:numId="2" w16cid:durableId="1943343135">
    <w:abstractNumId w:val="0"/>
  </w:num>
  <w:num w:numId="3" w16cid:durableId="1292831140">
    <w:abstractNumId w:val="2"/>
  </w:num>
  <w:num w:numId="4" w16cid:durableId="1154368263">
    <w:abstractNumId w:val="3"/>
  </w:num>
  <w:num w:numId="5" w16cid:durableId="1130365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4B8"/>
    <w:rsid w:val="00013695"/>
    <w:rsid w:val="00021832"/>
    <w:rsid w:val="000346B7"/>
    <w:rsid w:val="0003594F"/>
    <w:rsid w:val="000370DE"/>
    <w:rsid w:val="000601B5"/>
    <w:rsid w:val="0006329C"/>
    <w:rsid w:val="00067E5C"/>
    <w:rsid w:val="000A6180"/>
    <w:rsid w:val="000A67E1"/>
    <w:rsid w:val="000D60A4"/>
    <w:rsid w:val="000F5907"/>
    <w:rsid w:val="00115E2B"/>
    <w:rsid w:val="001232E6"/>
    <w:rsid w:val="00126266"/>
    <w:rsid w:val="00136771"/>
    <w:rsid w:val="001374F7"/>
    <w:rsid w:val="0014160C"/>
    <w:rsid w:val="00162AB2"/>
    <w:rsid w:val="00165AAC"/>
    <w:rsid w:val="00172774"/>
    <w:rsid w:val="00182325"/>
    <w:rsid w:val="001B4457"/>
    <w:rsid w:val="001E65A9"/>
    <w:rsid w:val="001E70EF"/>
    <w:rsid w:val="00217AED"/>
    <w:rsid w:val="00220BAA"/>
    <w:rsid w:val="00227EE6"/>
    <w:rsid w:val="00247281"/>
    <w:rsid w:val="002579BF"/>
    <w:rsid w:val="00286C8F"/>
    <w:rsid w:val="00290196"/>
    <w:rsid w:val="002A52BC"/>
    <w:rsid w:val="002A7634"/>
    <w:rsid w:val="002B2EAF"/>
    <w:rsid w:val="002C00F3"/>
    <w:rsid w:val="002C113D"/>
    <w:rsid w:val="002C7089"/>
    <w:rsid w:val="002D3CE2"/>
    <w:rsid w:val="002D48F6"/>
    <w:rsid w:val="002E302B"/>
    <w:rsid w:val="002F63C3"/>
    <w:rsid w:val="00306F2E"/>
    <w:rsid w:val="003079BB"/>
    <w:rsid w:val="003213E5"/>
    <w:rsid w:val="003545ED"/>
    <w:rsid w:val="00362ED0"/>
    <w:rsid w:val="00392FD7"/>
    <w:rsid w:val="003A0E6C"/>
    <w:rsid w:val="003A4158"/>
    <w:rsid w:val="003B3D9E"/>
    <w:rsid w:val="004115C8"/>
    <w:rsid w:val="00411F9A"/>
    <w:rsid w:val="004614D3"/>
    <w:rsid w:val="004621FB"/>
    <w:rsid w:val="00464F9A"/>
    <w:rsid w:val="00482801"/>
    <w:rsid w:val="004973AB"/>
    <w:rsid w:val="004C33CD"/>
    <w:rsid w:val="004C4E10"/>
    <w:rsid w:val="004D35E1"/>
    <w:rsid w:val="004F181E"/>
    <w:rsid w:val="00500B01"/>
    <w:rsid w:val="00503993"/>
    <w:rsid w:val="00505251"/>
    <w:rsid w:val="00531A9E"/>
    <w:rsid w:val="005518FA"/>
    <w:rsid w:val="00577349"/>
    <w:rsid w:val="00585A25"/>
    <w:rsid w:val="00595FF8"/>
    <w:rsid w:val="00596E54"/>
    <w:rsid w:val="005A1A3B"/>
    <w:rsid w:val="005A7A57"/>
    <w:rsid w:val="005B04C8"/>
    <w:rsid w:val="005B78F4"/>
    <w:rsid w:val="005C1422"/>
    <w:rsid w:val="005C33B4"/>
    <w:rsid w:val="005E19C3"/>
    <w:rsid w:val="00610A4B"/>
    <w:rsid w:val="00612E1B"/>
    <w:rsid w:val="006150FC"/>
    <w:rsid w:val="00620928"/>
    <w:rsid w:val="00623B7C"/>
    <w:rsid w:val="006279E3"/>
    <w:rsid w:val="00636ACD"/>
    <w:rsid w:val="0065047A"/>
    <w:rsid w:val="00664783"/>
    <w:rsid w:val="00673FF6"/>
    <w:rsid w:val="006749FC"/>
    <w:rsid w:val="00685F89"/>
    <w:rsid w:val="006A0529"/>
    <w:rsid w:val="006A253C"/>
    <w:rsid w:val="006A65F8"/>
    <w:rsid w:val="006B1396"/>
    <w:rsid w:val="006C1B4B"/>
    <w:rsid w:val="006C361E"/>
    <w:rsid w:val="006E0BE5"/>
    <w:rsid w:val="006F5BFD"/>
    <w:rsid w:val="0072508D"/>
    <w:rsid w:val="00742367"/>
    <w:rsid w:val="00755843"/>
    <w:rsid w:val="00782222"/>
    <w:rsid w:val="00791766"/>
    <w:rsid w:val="007A4A13"/>
    <w:rsid w:val="007B1784"/>
    <w:rsid w:val="007B4CF2"/>
    <w:rsid w:val="007D07A8"/>
    <w:rsid w:val="007E33A8"/>
    <w:rsid w:val="00806EAA"/>
    <w:rsid w:val="00815A3D"/>
    <w:rsid w:val="008224E7"/>
    <w:rsid w:val="00825758"/>
    <w:rsid w:val="00844E61"/>
    <w:rsid w:val="00846B02"/>
    <w:rsid w:val="00851563"/>
    <w:rsid w:val="00855E4B"/>
    <w:rsid w:val="008565F2"/>
    <w:rsid w:val="008642D4"/>
    <w:rsid w:val="00866A27"/>
    <w:rsid w:val="0088138F"/>
    <w:rsid w:val="00882011"/>
    <w:rsid w:val="00882B71"/>
    <w:rsid w:val="00883E76"/>
    <w:rsid w:val="00894788"/>
    <w:rsid w:val="00897AD8"/>
    <w:rsid w:val="008A4EC8"/>
    <w:rsid w:val="008A669C"/>
    <w:rsid w:val="008A7A84"/>
    <w:rsid w:val="008B154F"/>
    <w:rsid w:val="008C0A75"/>
    <w:rsid w:val="008C14C8"/>
    <w:rsid w:val="008C1ECE"/>
    <w:rsid w:val="008D282B"/>
    <w:rsid w:val="008D5655"/>
    <w:rsid w:val="008D62FB"/>
    <w:rsid w:val="008E0FE0"/>
    <w:rsid w:val="008F14B8"/>
    <w:rsid w:val="00901F8E"/>
    <w:rsid w:val="00902A15"/>
    <w:rsid w:val="00903967"/>
    <w:rsid w:val="00905E74"/>
    <w:rsid w:val="009360B5"/>
    <w:rsid w:val="0096179B"/>
    <w:rsid w:val="00961D16"/>
    <w:rsid w:val="00966510"/>
    <w:rsid w:val="00977393"/>
    <w:rsid w:val="00991DCD"/>
    <w:rsid w:val="009962F6"/>
    <w:rsid w:val="009B55CA"/>
    <w:rsid w:val="009C2005"/>
    <w:rsid w:val="009E7032"/>
    <w:rsid w:val="009F4F6B"/>
    <w:rsid w:val="00A3210E"/>
    <w:rsid w:val="00A35060"/>
    <w:rsid w:val="00A53531"/>
    <w:rsid w:val="00A77ACE"/>
    <w:rsid w:val="00A92265"/>
    <w:rsid w:val="00A94FC2"/>
    <w:rsid w:val="00AB0790"/>
    <w:rsid w:val="00AB0B15"/>
    <w:rsid w:val="00AC5A8E"/>
    <w:rsid w:val="00AD1004"/>
    <w:rsid w:val="00AD1B18"/>
    <w:rsid w:val="00AD5B38"/>
    <w:rsid w:val="00AD77BD"/>
    <w:rsid w:val="00AE0C08"/>
    <w:rsid w:val="00AF47F2"/>
    <w:rsid w:val="00B00FF3"/>
    <w:rsid w:val="00B02DFE"/>
    <w:rsid w:val="00B1211F"/>
    <w:rsid w:val="00B14F23"/>
    <w:rsid w:val="00B1519E"/>
    <w:rsid w:val="00B158DE"/>
    <w:rsid w:val="00B1747E"/>
    <w:rsid w:val="00B17987"/>
    <w:rsid w:val="00B2072C"/>
    <w:rsid w:val="00B340F8"/>
    <w:rsid w:val="00B45F93"/>
    <w:rsid w:val="00B5302C"/>
    <w:rsid w:val="00B55DEA"/>
    <w:rsid w:val="00B761E1"/>
    <w:rsid w:val="00B84207"/>
    <w:rsid w:val="00B85917"/>
    <w:rsid w:val="00BC1213"/>
    <w:rsid w:val="00BC7FB4"/>
    <w:rsid w:val="00BD0F61"/>
    <w:rsid w:val="00BE5874"/>
    <w:rsid w:val="00BF2C56"/>
    <w:rsid w:val="00BF6878"/>
    <w:rsid w:val="00BF6A8D"/>
    <w:rsid w:val="00C1289F"/>
    <w:rsid w:val="00C17C6C"/>
    <w:rsid w:val="00C23AEE"/>
    <w:rsid w:val="00C66FA6"/>
    <w:rsid w:val="00C6735E"/>
    <w:rsid w:val="00C75B72"/>
    <w:rsid w:val="00C9030B"/>
    <w:rsid w:val="00C9080D"/>
    <w:rsid w:val="00C918D1"/>
    <w:rsid w:val="00CB5027"/>
    <w:rsid w:val="00CC0FE8"/>
    <w:rsid w:val="00CD06FD"/>
    <w:rsid w:val="00CD24AF"/>
    <w:rsid w:val="00CE0C8B"/>
    <w:rsid w:val="00CE5B49"/>
    <w:rsid w:val="00CF4B4F"/>
    <w:rsid w:val="00D00F63"/>
    <w:rsid w:val="00D2245A"/>
    <w:rsid w:val="00D4333B"/>
    <w:rsid w:val="00D47322"/>
    <w:rsid w:val="00D62A6C"/>
    <w:rsid w:val="00D716E7"/>
    <w:rsid w:val="00D9533B"/>
    <w:rsid w:val="00DA1FE5"/>
    <w:rsid w:val="00DC4B4A"/>
    <w:rsid w:val="00DC6FB7"/>
    <w:rsid w:val="00DD6D8D"/>
    <w:rsid w:val="00DE5CA8"/>
    <w:rsid w:val="00DF1892"/>
    <w:rsid w:val="00E023E2"/>
    <w:rsid w:val="00E14866"/>
    <w:rsid w:val="00E41745"/>
    <w:rsid w:val="00E53353"/>
    <w:rsid w:val="00E5555A"/>
    <w:rsid w:val="00E73483"/>
    <w:rsid w:val="00E7378B"/>
    <w:rsid w:val="00E848BC"/>
    <w:rsid w:val="00E8586E"/>
    <w:rsid w:val="00E86C0B"/>
    <w:rsid w:val="00E93850"/>
    <w:rsid w:val="00E949AB"/>
    <w:rsid w:val="00EA345E"/>
    <w:rsid w:val="00EB2F5F"/>
    <w:rsid w:val="00EB7B0F"/>
    <w:rsid w:val="00EC52DE"/>
    <w:rsid w:val="00EC6BC9"/>
    <w:rsid w:val="00ED1744"/>
    <w:rsid w:val="00ED1FD3"/>
    <w:rsid w:val="00ED52BD"/>
    <w:rsid w:val="00ED5586"/>
    <w:rsid w:val="00EE5D0E"/>
    <w:rsid w:val="00EE7011"/>
    <w:rsid w:val="00EF603E"/>
    <w:rsid w:val="00F06426"/>
    <w:rsid w:val="00F12117"/>
    <w:rsid w:val="00F508C2"/>
    <w:rsid w:val="00F6785D"/>
    <w:rsid w:val="00F67BDE"/>
    <w:rsid w:val="00F7133C"/>
    <w:rsid w:val="00F75F00"/>
    <w:rsid w:val="00F924EE"/>
    <w:rsid w:val="00FA1B26"/>
    <w:rsid w:val="00FB054D"/>
    <w:rsid w:val="00FB66CE"/>
    <w:rsid w:val="00FE4DCE"/>
    <w:rsid w:val="00FE56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4F08A"/>
  <w15:docId w15:val="{CE7A4A15-7248-44FA-BFF8-ED2C52F5C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ABNT">
    <w:name w:val="ABNT"/>
    <w:basedOn w:val="Normal"/>
    <w:qFormat/>
    <w:rsid w:val="002F63C3"/>
    <w:pPr>
      <w:tabs>
        <w:tab w:val="left" w:pos="709"/>
      </w:tabs>
      <w:spacing w:line="360" w:lineRule="auto"/>
      <w:ind w:firstLine="709"/>
      <w:jc w:val="both"/>
    </w:pPr>
    <w:rPr>
      <w:rFonts w:ascii="Times New Roman" w:eastAsiaTheme="minorHAnsi" w:hAnsi="Times New Roman" w:cstheme="minorBidi"/>
      <w:sz w:val="24"/>
      <w:lang w:eastAsia="en-US"/>
    </w:rPr>
  </w:style>
  <w:style w:type="paragraph" w:styleId="Cabealho">
    <w:name w:val="header"/>
    <w:basedOn w:val="Normal"/>
    <w:link w:val="CabealhoChar"/>
    <w:uiPriority w:val="99"/>
    <w:unhideWhenUsed/>
    <w:rsid w:val="00AD77BD"/>
    <w:pPr>
      <w:tabs>
        <w:tab w:val="center" w:pos="4252"/>
        <w:tab w:val="right" w:pos="8504"/>
      </w:tabs>
      <w:spacing w:line="240" w:lineRule="auto"/>
    </w:pPr>
  </w:style>
  <w:style w:type="character" w:customStyle="1" w:styleId="CabealhoChar">
    <w:name w:val="Cabeçalho Char"/>
    <w:basedOn w:val="Fontepargpadro"/>
    <w:link w:val="Cabealho"/>
    <w:uiPriority w:val="99"/>
    <w:rsid w:val="00AD77BD"/>
  </w:style>
  <w:style w:type="paragraph" w:styleId="Rodap">
    <w:name w:val="footer"/>
    <w:basedOn w:val="Normal"/>
    <w:link w:val="RodapChar"/>
    <w:uiPriority w:val="99"/>
    <w:unhideWhenUsed/>
    <w:rsid w:val="00AD77BD"/>
    <w:pPr>
      <w:tabs>
        <w:tab w:val="center" w:pos="4252"/>
        <w:tab w:val="right" w:pos="8504"/>
      </w:tabs>
      <w:spacing w:line="240" w:lineRule="auto"/>
    </w:pPr>
  </w:style>
  <w:style w:type="character" w:customStyle="1" w:styleId="RodapChar">
    <w:name w:val="Rodapé Char"/>
    <w:basedOn w:val="Fontepargpadro"/>
    <w:link w:val="Rodap"/>
    <w:uiPriority w:val="99"/>
    <w:rsid w:val="00AD77BD"/>
  </w:style>
  <w:style w:type="character" w:styleId="Hyperlink">
    <w:name w:val="Hyperlink"/>
    <w:basedOn w:val="Fontepargpadro"/>
    <w:uiPriority w:val="99"/>
    <w:unhideWhenUsed/>
    <w:rsid w:val="008224E7"/>
    <w:rPr>
      <w:color w:val="0000FF" w:themeColor="hyperlink"/>
      <w:u w:val="single"/>
    </w:rPr>
  </w:style>
  <w:style w:type="character" w:styleId="MenoPendente">
    <w:name w:val="Unresolved Mention"/>
    <w:basedOn w:val="Fontepargpadro"/>
    <w:uiPriority w:val="99"/>
    <w:semiHidden/>
    <w:unhideWhenUsed/>
    <w:rsid w:val="008224E7"/>
    <w:rPr>
      <w:color w:val="605E5C"/>
      <w:shd w:val="clear" w:color="auto" w:fill="E1DFDD"/>
    </w:rPr>
  </w:style>
  <w:style w:type="paragraph" w:styleId="Reviso">
    <w:name w:val="Revision"/>
    <w:hidden/>
    <w:uiPriority w:val="99"/>
    <w:semiHidden/>
    <w:rsid w:val="00855E4B"/>
    <w:pPr>
      <w:spacing w:line="240" w:lineRule="auto"/>
    </w:pPr>
  </w:style>
  <w:style w:type="paragraph" w:styleId="PargrafodaLista">
    <w:name w:val="List Paragraph"/>
    <w:basedOn w:val="Normal"/>
    <w:uiPriority w:val="34"/>
    <w:qFormat/>
    <w:rsid w:val="00AB0790"/>
    <w:pPr>
      <w:ind w:left="720"/>
      <w:contextualSpacing/>
    </w:pPr>
  </w:style>
  <w:style w:type="character" w:styleId="HiperlinkVisitado">
    <w:name w:val="FollowedHyperlink"/>
    <w:basedOn w:val="Fontepargpadro"/>
    <w:uiPriority w:val="99"/>
    <w:semiHidden/>
    <w:unhideWhenUsed/>
    <w:rsid w:val="00EE7011"/>
    <w:rPr>
      <w:color w:val="800080" w:themeColor="followedHyperlink"/>
      <w:u w:val="single"/>
    </w:rPr>
  </w:style>
  <w:style w:type="paragraph" w:styleId="Textodenotaderodap">
    <w:name w:val="footnote text"/>
    <w:basedOn w:val="Normal"/>
    <w:link w:val="TextodenotaderodapChar"/>
    <w:uiPriority w:val="99"/>
    <w:semiHidden/>
    <w:unhideWhenUsed/>
    <w:rsid w:val="0024728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47281"/>
    <w:rPr>
      <w:sz w:val="20"/>
      <w:szCs w:val="20"/>
    </w:rPr>
  </w:style>
  <w:style w:type="character" w:styleId="Refdenotaderodap">
    <w:name w:val="footnote reference"/>
    <w:basedOn w:val="Fontepargpadro"/>
    <w:uiPriority w:val="99"/>
    <w:semiHidden/>
    <w:unhideWhenUsed/>
    <w:rsid w:val="002472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76220">
      <w:bodyDiv w:val="1"/>
      <w:marLeft w:val="0"/>
      <w:marRight w:val="0"/>
      <w:marTop w:val="0"/>
      <w:marBottom w:val="0"/>
      <w:divBdr>
        <w:top w:val="none" w:sz="0" w:space="0" w:color="auto"/>
        <w:left w:val="none" w:sz="0" w:space="0" w:color="auto"/>
        <w:bottom w:val="none" w:sz="0" w:space="0" w:color="auto"/>
        <w:right w:val="none" w:sz="0" w:space="0" w:color="auto"/>
      </w:divBdr>
      <w:divsChild>
        <w:div w:id="56898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03603">
      <w:bodyDiv w:val="1"/>
      <w:marLeft w:val="0"/>
      <w:marRight w:val="0"/>
      <w:marTop w:val="0"/>
      <w:marBottom w:val="0"/>
      <w:divBdr>
        <w:top w:val="none" w:sz="0" w:space="0" w:color="auto"/>
        <w:left w:val="none" w:sz="0" w:space="0" w:color="auto"/>
        <w:bottom w:val="none" w:sz="0" w:space="0" w:color="auto"/>
        <w:right w:val="none" w:sz="0" w:space="0" w:color="auto"/>
      </w:divBdr>
    </w:div>
    <w:div w:id="68768989">
      <w:bodyDiv w:val="1"/>
      <w:marLeft w:val="0"/>
      <w:marRight w:val="0"/>
      <w:marTop w:val="0"/>
      <w:marBottom w:val="0"/>
      <w:divBdr>
        <w:top w:val="none" w:sz="0" w:space="0" w:color="auto"/>
        <w:left w:val="none" w:sz="0" w:space="0" w:color="auto"/>
        <w:bottom w:val="none" w:sz="0" w:space="0" w:color="auto"/>
        <w:right w:val="none" w:sz="0" w:space="0" w:color="auto"/>
      </w:divBdr>
    </w:div>
    <w:div w:id="88627133">
      <w:bodyDiv w:val="1"/>
      <w:marLeft w:val="0"/>
      <w:marRight w:val="0"/>
      <w:marTop w:val="0"/>
      <w:marBottom w:val="0"/>
      <w:divBdr>
        <w:top w:val="none" w:sz="0" w:space="0" w:color="auto"/>
        <w:left w:val="none" w:sz="0" w:space="0" w:color="auto"/>
        <w:bottom w:val="none" w:sz="0" w:space="0" w:color="auto"/>
        <w:right w:val="none" w:sz="0" w:space="0" w:color="auto"/>
      </w:divBdr>
    </w:div>
    <w:div w:id="167064960">
      <w:bodyDiv w:val="1"/>
      <w:marLeft w:val="0"/>
      <w:marRight w:val="0"/>
      <w:marTop w:val="0"/>
      <w:marBottom w:val="0"/>
      <w:divBdr>
        <w:top w:val="none" w:sz="0" w:space="0" w:color="auto"/>
        <w:left w:val="none" w:sz="0" w:space="0" w:color="auto"/>
        <w:bottom w:val="none" w:sz="0" w:space="0" w:color="auto"/>
        <w:right w:val="none" w:sz="0" w:space="0" w:color="auto"/>
      </w:divBdr>
    </w:div>
    <w:div w:id="201400602">
      <w:bodyDiv w:val="1"/>
      <w:marLeft w:val="0"/>
      <w:marRight w:val="0"/>
      <w:marTop w:val="0"/>
      <w:marBottom w:val="0"/>
      <w:divBdr>
        <w:top w:val="none" w:sz="0" w:space="0" w:color="auto"/>
        <w:left w:val="none" w:sz="0" w:space="0" w:color="auto"/>
        <w:bottom w:val="none" w:sz="0" w:space="0" w:color="auto"/>
        <w:right w:val="none" w:sz="0" w:space="0" w:color="auto"/>
      </w:divBdr>
      <w:divsChild>
        <w:div w:id="618727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107570">
      <w:bodyDiv w:val="1"/>
      <w:marLeft w:val="0"/>
      <w:marRight w:val="0"/>
      <w:marTop w:val="0"/>
      <w:marBottom w:val="0"/>
      <w:divBdr>
        <w:top w:val="none" w:sz="0" w:space="0" w:color="auto"/>
        <w:left w:val="none" w:sz="0" w:space="0" w:color="auto"/>
        <w:bottom w:val="none" w:sz="0" w:space="0" w:color="auto"/>
        <w:right w:val="none" w:sz="0" w:space="0" w:color="auto"/>
      </w:divBdr>
    </w:div>
    <w:div w:id="297421190">
      <w:bodyDiv w:val="1"/>
      <w:marLeft w:val="0"/>
      <w:marRight w:val="0"/>
      <w:marTop w:val="0"/>
      <w:marBottom w:val="0"/>
      <w:divBdr>
        <w:top w:val="none" w:sz="0" w:space="0" w:color="auto"/>
        <w:left w:val="none" w:sz="0" w:space="0" w:color="auto"/>
        <w:bottom w:val="none" w:sz="0" w:space="0" w:color="auto"/>
        <w:right w:val="none" w:sz="0" w:space="0" w:color="auto"/>
      </w:divBdr>
    </w:div>
    <w:div w:id="321663375">
      <w:bodyDiv w:val="1"/>
      <w:marLeft w:val="0"/>
      <w:marRight w:val="0"/>
      <w:marTop w:val="0"/>
      <w:marBottom w:val="0"/>
      <w:divBdr>
        <w:top w:val="none" w:sz="0" w:space="0" w:color="auto"/>
        <w:left w:val="none" w:sz="0" w:space="0" w:color="auto"/>
        <w:bottom w:val="none" w:sz="0" w:space="0" w:color="auto"/>
        <w:right w:val="none" w:sz="0" w:space="0" w:color="auto"/>
      </w:divBdr>
    </w:div>
    <w:div w:id="333000725">
      <w:bodyDiv w:val="1"/>
      <w:marLeft w:val="0"/>
      <w:marRight w:val="0"/>
      <w:marTop w:val="0"/>
      <w:marBottom w:val="0"/>
      <w:divBdr>
        <w:top w:val="none" w:sz="0" w:space="0" w:color="auto"/>
        <w:left w:val="none" w:sz="0" w:space="0" w:color="auto"/>
        <w:bottom w:val="none" w:sz="0" w:space="0" w:color="auto"/>
        <w:right w:val="none" w:sz="0" w:space="0" w:color="auto"/>
      </w:divBdr>
    </w:div>
    <w:div w:id="342511730">
      <w:bodyDiv w:val="1"/>
      <w:marLeft w:val="0"/>
      <w:marRight w:val="0"/>
      <w:marTop w:val="0"/>
      <w:marBottom w:val="0"/>
      <w:divBdr>
        <w:top w:val="none" w:sz="0" w:space="0" w:color="auto"/>
        <w:left w:val="none" w:sz="0" w:space="0" w:color="auto"/>
        <w:bottom w:val="none" w:sz="0" w:space="0" w:color="auto"/>
        <w:right w:val="none" w:sz="0" w:space="0" w:color="auto"/>
      </w:divBdr>
    </w:div>
    <w:div w:id="343021361">
      <w:bodyDiv w:val="1"/>
      <w:marLeft w:val="0"/>
      <w:marRight w:val="0"/>
      <w:marTop w:val="0"/>
      <w:marBottom w:val="0"/>
      <w:divBdr>
        <w:top w:val="none" w:sz="0" w:space="0" w:color="auto"/>
        <w:left w:val="none" w:sz="0" w:space="0" w:color="auto"/>
        <w:bottom w:val="none" w:sz="0" w:space="0" w:color="auto"/>
        <w:right w:val="none" w:sz="0" w:space="0" w:color="auto"/>
      </w:divBdr>
    </w:div>
    <w:div w:id="389308142">
      <w:bodyDiv w:val="1"/>
      <w:marLeft w:val="0"/>
      <w:marRight w:val="0"/>
      <w:marTop w:val="0"/>
      <w:marBottom w:val="0"/>
      <w:divBdr>
        <w:top w:val="none" w:sz="0" w:space="0" w:color="auto"/>
        <w:left w:val="none" w:sz="0" w:space="0" w:color="auto"/>
        <w:bottom w:val="none" w:sz="0" w:space="0" w:color="auto"/>
        <w:right w:val="none" w:sz="0" w:space="0" w:color="auto"/>
      </w:divBdr>
    </w:div>
    <w:div w:id="438650537">
      <w:bodyDiv w:val="1"/>
      <w:marLeft w:val="0"/>
      <w:marRight w:val="0"/>
      <w:marTop w:val="0"/>
      <w:marBottom w:val="0"/>
      <w:divBdr>
        <w:top w:val="none" w:sz="0" w:space="0" w:color="auto"/>
        <w:left w:val="none" w:sz="0" w:space="0" w:color="auto"/>
        <w:bottom w:val="none" w:sz="0" w:space="0" w:color="auto"/>
        <w:right w:val="none" w:sz="0" w:space="0" w:color="auto"/>
      </w:divBdr>
    </w:div>
    <w:div w:id="448276557">
      <w:bodyDiv w:val="1"/>
      <w:marLeft w:val="0"/>
      <w:marRight w:val="0"/>
      <w:marTop w:val="0"/>
      <w:marBottom w:val="0"/>
      <w:divBdr>
        <w:top w:val="none" w:sz="0" w:space="0" w:color="auto"/>
        <w:left w:val="none" w:sz="0" w:space="0" w:color="auto"/>
        <w:bottom w:val="none" w:sz="0" w:space="0" w:color="auto"/>
        <w:right w:val="none" w:sz="0" w:space="0" w:color="auto"/>
      </w:divBdr>
    </w:div>
    <w:div w:id="463499416">
      <w:bodyDiv w:val="1"/>
      <w:marLeft w:val="0"/>
      <w:marRight w:val="0"/>
      <w:marTop w:val="0"/>
      <w:marBottom w:val="0"/>
      <w:divBdr>
        <w:top w:val="none" w:sz="0" w:space="0" w:color="auto"/>
        <w:left w:val="none" w:sz="0" w:space="0" w:color="auto"/>
        <w:bottom w:val="none" w:sz="0" w:space="0" w:color="auto"/>
        <w:right w:val="none" w:sz="0" w:space="0" w:color="auto"/>
      </w:divBdr>
    </w:div>
    <w:div w:id="480272900">
      <w:bodyDiv w:val="1"/>
      <w:marLeft w:val="0"/>
      <w:marRight w:val="0"/>
      <w:marTop w:val="0"/>
      <w:marBottom w:val="0"/>
      <w:divBdr>
        <w:top w:val="none" w:sz="0" w:space="0" w:color="auto"/>
        <w:left w:val="none" w:sz="0" w:space="0" w:color="auto"/>
        <w:bottom w:val="none" w:sz="0" w:space="0" w:color="auto"/>
        <w:right w:val="none" w:sz="0" w:space="0" w:color="auto"/>
      </w:divBdr>
    </w:div>
    <w:div w:id="518275148">
      <w:bodyDiv w:val="1"/>
      <w:marLeft w:val="0"/>
      <w:marRight w:val="0"/>
      <w:marTop w:val="0"/>
      <w:marBottom w:val="0"/>
      <w:divBdr>
        <w:top w:val="none" w:sz="0" w:space="0" w:color="auto"/>
        <w:left w:val="none" w:sz="0" w:space="0" w:color="auto"/>
        <w:bottom w:val="none" w:sz="0" w:space="0" w:color="auto"/>
        <w:right w:val="none" w:sz="0" w:space="0" w:color="auto"/>
      </w:divBdr>
      <w:divsChild>
        <w:div w:id="1697271330">
          <w:marLeft w:val="0"/>
          <w:marRight w:val="0"/>
          <w:marTop w:val="0"/>
          <w:marBottom w:val="0"/>
          <w:divBdr>
            <w:top w:val="none" w:sz="0" w:space="0" w:color="auto"/>
            <w:left w:val="none" w:sz="0" w:space="0" w:color="auto"/>
            <w:bottom w:val="none" w:sz="0" w:space="0" w:color="auto"/>
            <w:right w:val="none" w:sz="0" w:space="0" w:color="auto"/>
          </w:divBdr>
          <w:divsChild>
            <w:div w:id="2039771570">
              <w:marLeft w:val="0"/>
              <w:marRight w:val="0"/>
              <w:marTop w:val="0"/>
              <w:marBottom w:val="0"/>
              <w:divBdr>
                <w:top w:val="none" w:sz="0" w:space="0" w:color="auto"/>
                <w:left w:val="none" w:sz="0" w:space="0" w:color="auto"/>
                <w:bottom w:val="none" w:sz="0" w:space="0" w:color="auto"/>
                <w:right w:val="none" w:sz="0" w:space="0" w:color="auto"/>
              </w:divBdr>
              <w:divsChild>
                <w:div w:id="1711148930">
                  <w:marLeft w:val="0"/>
                  <w:marRight w:val="0"/>
                  <w:marTop w:val="0"/>
                  <w:marBottom w:val="0"/>
                  <w:divBdr>
                    <w:top w:val="none" w:sz="0" w:space="0" w:color="auto"/>
                    <w:left w:val="none" w:sz="0" w:space="0" w:color="auto"/>
                    <w:bottom w:val="none" w:sz="0" w:space="0" w:color="auto"/>
                    <w:right w:val="none" w:sz="0" w:space="0" w:color="auto"/>
                  </w:divBdr>
                  <w:divsChild>
                    <w:div w:id="1091775560">
                      <w:marLeft w:val="0"/>
                      <w:marRight w:val="0"/>
                      <w:marTop w:val="0"/>
                      <w:marBottom w:val="0"/>
                      <w:divBdr>
                        <w:top w:val="none" w:sz="0" w:space="0" w:color="auto"/>
                        <w:left w:val="none" w:sz="0" w:space="0" w:color="auto"/>
                        <w:bottom w:val="none" w:sz="0" w:space="0" w:color="auto"/>
                        <w:right w:val="none" w:sz="0" w:space="0" w:color="auto"/>
                      </w:divBdr>
                      <w:divsChild>
                        <w:div w:id="897669318">
                          <w:marLeft w:val="0"/>
                          <w:marRight w:val="0"/>
                          <w:marTop w:val="0"/>
                          <w:marBottom w:val="0"/>
                          <w:divBdr>
                            <w:top w:val="none" w:sz="0" w:space="0" w:color="auto"/>
                            <w:left w:val="none" w:sz="0" w:space="0" w:color="auto"/>
                            <w:bottom w:val="none" w:sz="0" w:space="0" w:color="auto"/>
                            <w:right w:val="none" w:sz="0" w:space="0" w:color="auto"/>
                          </w:divBdr>
                          <w:divsChild>
                            <w:div w:id="1472673393">
                              <w:marLeft w:val="0"/>
                              <w:marRight w:val="0"/>
                              <w:marTop w:val="0"/>
                              <w:marBottom w:val="0"/>
                              <w:divBdr>
                                <w:top w:val="none" w:sz="0" w:space="0" w:color="auto"/>
                                <w:left w:val="none" w:sz="0" w:space="0" w:color="auto"/>
                                <w:bottom w:val="none" w:sz="0" w:space="0" w:color="auto"/>
                                <w:right w:val="none" w:sz="0" w:space="0" w:color="auto"/>
                              </w:divBdr>
                              <w:divsChild>
                                <w:div w:id="367143437">
                                  <w:marLeft w:val="0"/>
                                  <w:marRight w:val="0"/>
                                  <w:marTop w:val="0"/>
                                  <w:marBottom w:val="0"/>
                                  <w:divBdr>
                                    <w:top w:val="none" w:sz="0" w:space="0" w:color="auto"/>
                                    <w:left w:val="none" w:sz="0" w:space="0" w:color="auto"/>
                                    <w:bottom w:val="none" w:sz="0" w:space="0" w:color="auto"/>
                                    <w:right w:val="none" w:sz="0" w:space="0" w:color="auto"/>
                                  </w:divBdr>
                                  <w:divsChild>
                                    <w:div w:id="1276132754">
                                      <w:marLeft w:val="0"/>
                                      <w:marRight w:val="0"/>
                                      <w:marTop w:val="0"/>
                                      <w:marBottom w:val="0"/>
                                      <w:divBdr>
                                        <w:top w:val="none" w:sz="0" w:space="0" w:color="auto"/>
                                        <w:left w:val="none" w:sz="0" w:space="0" w:color="auto"/>
                                        <w:bottom w:val="none" w:sz="0" w:space="0" w:color="auto"/>
                                        <w:right w:val="none" w:sz="0" w:space="0" w:color="auto"/>
                                      </w:divBdr>
                                      <w:divsChild>
                                        <w:div w:id="1401060272">
                                          <w:marLeft w:val="0"/>
                                          <w:marRight w:val="0"/>
                                          <w:marTop w:val="0"/>
                                          <w:marBottom w:val="0"/>
                                          <w:divBdr>
                                            <w:top w:val="none" w:sz="0" w:space="0" w:color="auto"/>
                                            <w:left w:val="none" w:sz="0" w:space="0" w:color="auto"/>
                                            <w:bottom w:val="none" w:sz="0" w:space="0" w:color="auto"/>
                                            <w:right w:val="none" w:sz="0" w:space="0" w:color="auto"/>
                                          </w:divBdr>
                                          <w:divsChild>
                                            <w:div w:id="1809936300">
                                              <w:marLeft w:val="0"/>
                                              <w:marRight w:val="0"/>
                                              <w:marTop w:val="0"/>
                                              <w:marBottom w:val="0"/>
                                              <w:divBdr>
                                                <w:top w:val="none" w:sz="0" w:space="0" w:color="auto"/>
                                                <w:left w:val="none" w:sz="0" w:space="0" w:color="auto"/>
                                                <w:bottom w:val="none" w:sz="0" w:space="0" w:color="auto"/>
                                                <w:right w:val="none" w:sz="0" w:space="0" w:color="auto"/>
                                              </w:divBdr>
                                              <w:divsChild>
                                                <w:div w:id="1994065466">
                                                  <w:marLeft w:val="0"/>
                                                  <w:marRight w:val="0"/>
                                                  <w:marTop w:val="0"/>
                                                  <w:marBottom w:val="0"/>
                                                  <w:divBdr>
                                                    <w:top w:val="none" w:sz="0" w:space="0" w:color="auto"/>
                                                    <w:left w:val="none" w:sz="0" w:space="0" w:color="auto"/>
                                                    <w:bottom w:val="none" w:sz="0" w:space="0" w:color="auto"/>
                                                    <w:right w:val="none" w:sz="0" w:space="0" w:color="auto"/>
                                                  </w:divBdr>
                                                  <w:divsChild>
                                                    <w:div w:id="12424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26921">
                                      <w:marLeft w:val="0"/>
                                      <w:marRight w:val="0"/>
                                      <w:marTop w:val="0"/>
                                      <w:marBottom w:val="0"/>
                                      <w:divBdr>
                                        <w:top w:val="none" w:sz="0" w:space="0" w:color="auto"/>
                                        <w:left w:val="none" w:sz="0" w:space="0" w:color="auto"/>
                                        <w:bottom w:val="none" w:sz="0" w:space="0" w:color="auto"/>
                                        <w:right w:val="none" w:sz="0" w:space="0" w:color="auto"/>
                                      </w:divBdr>
                                      <w:divsChild>
                                        <w:div w:id="5642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749024">
          <w:marLeft w:val="0"/>
          <w:marRight w:val="0"/>
          <w:marTop w:val="0"/>
          <w:marBottom w:val="0"/>
          <w:divBdr>
            <w:top w:val="none" w:sz="0" w:space="0" w:color="auto"/>
            <w:left w:val="none" w:sz="0" w:space="0" w:color="auto"/>
            <w:bottom w:val="none" w:sz="0" w:space="0" w:color="auto"/>
            <w:right w:val="none" w:sz="0" w:space="0" w:color="auto"/>
          </w:divBdr>
          <w:divsChild>
            <w:div w:id="1659532711">
              <w:marLeft w:val="0"/>
              <w:marRight w:val="0"/>
              <w:marTop w:val="0"/>
              <w:marBottom w:val="0"/>
              <w:divBdr>
                <w:top w:val="none" w:sz="0" w:space="0" w:color="auto"/>
                <w:left w:val="none" w:sz="0" w:space="0" w:color="auto"/>
                <w:bottom w:val="none" w:sz="0" w:space="0" w:color="auto"/>
                <w:right w:val="none" w:sz="0" w:space="0" w:color="auto"/>
              </w:divBdr>
              <w:divsChild>
                <w:div w:id="1486625039">
                  <w:marLeft w:val="0"/>
                  <w:marRight w:val="0"/>
                  <w:marTop w:val="0"/>
                  <w:marBottom w:val="0"/>
                  <w:divBdr>
                    <w:top w:val="none" w:sz="0" w:space="0" w:color="auto"/>
                    <w:left w:val="none" w:sz="0" w:space="0" w:color="auto"/>
                    <w:bottom w:val="none" w:sz="0" w:space="0" w:color="auto"/>
                    <w:right w:val="none" w:sz="0" w:space="0" w:color="auto"/>
                  </w:divBdr>
                  <w:divsChild>
                    <w:div w:id="853761096">
                      <w:marLeft w:val="0"/>
                      <w:marRight w:val="0"/>
                      <w:marTop w:val="0"/>
                      <w:marBottom w:val="0"/>
                      <w:divBdr>
                        <w:top w:val="none" w:sz="0" w:space="0" w:color="auto"/>
                        <w:left w:val="none" w:sz="0" w:space="0" w:color="auto"/>
                        <w:bottom w:val="none" w:sz="0" w:space="0" w:color="auto"/>
                        <w:right w:val="none" w:sz="0" w:space="0" w:color="auto"/>
                      </w:divBdr>
                      <w:divsChild>
                        <w:div w:id="20326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804">
      <w:bodyDiv w:val="1"/>
      <w:marLeft w:val="0"/>
      <w:marRight w:val="0"/>
      <w:marTop w:val="0"/>
      <w:marBottom w:val="0"/>
      <w:divBdr>
        <w:top w:val="none" w:sz="0" w:space="0" w:color="auto"/>
        <w:left w:val="none" w:sz="0" w:space="0" w:color="auto"/>
        <w:bottom w:val="none" w:sz="0" w:space="0" w:color="auto"/>
        <w:right w:val="none" w:sz="0" w:space="0" w:color="auto"/>
      </w:divBdr>
    </w:div>
    <w:div w:id="549541133">
      <w:bodyDiv w:val="1"/>
      <w:marLeft w:val="0"/>
      <w:marRight w:val="0"/>
      <w:marTop w:val="0"/>
      <w:marBottom w:val="0"/>
      <w:divBdr>
        <w:top w:val="none" w:sz="0" w:space="0" w:color="auto"/>
        <w:left w:val="none" w:sz="0" w:space="0" w:color="auto"/>
        <w:bottom w:val="none" w:sz="0" w:space="0" w:color="auto"/>
        <w:right w:val="none" w:sz="0" w:space="0" w:color="auto"/>
      </w:divBdr>
    </w:div>
    <w:div w:id="593822489">
      <w:bodyDiv w:val="1"/>
      <w:marLeft w:val="0"/>
      <w:marRight w:val="0"/>
      <w:marTop w:val="0"/>
      <w:marBottom w:val="0"/>
      <w:divBdr>
        <w:top w:val="none" w:sz="0" w:space="0" w:color="auto"/>
        <w:left w:val="none" w:sz="0" w:space="0" w:color="auto"/>
        <w:bottom w:val="none" w:sz="0" w:space="0" w:color="auto"/>
        <w:right w:val="none" w:sz="0" w:space="0" w:color="auto"/>
      </w:divBdr>
    </w:div>
    <w:div w:id="617833572">
      <w:bodyDiv w:val="1"/>
      <w:marLeft w:val="0"/>
      <w:marRight w:val="0"/>
      <w:marTop w:val="0"/>
      <w:marBottom w:val="0"/>
      <w:divBdr>
        <w:top w:val="none" w:sz="0" w:space="0" w:color="auto"/>
        <w:left w:val="none" w:sz="0" w:space="0" w:color="auto"/>
        <w:bottom w:val="none" w:sz="0" w:space="0" w:color="auto"/>
        <w:right w:val="none" w:sz="0" w:space="0" w:color="auto"/>
      </w:divBdr>
    </w:div>
    <w:div w:id="808548329">
      <w:bodyDiv w:val="1"/>
      <w:marLeft w:val="0"/>
      <w:marRight w:val="0"/>
      <w:marTop w:val="0"/>
      <w:marBottom w:val="0"/>
      <w:divBdr>
        <w:top w:val="none" w:sz="0" w:space="0" w:color="auto"/>
        <w:left w:val="none" w:sz="0" w:space="0" w:color="auto"/>
        <w:bottom w:val="none" w:sz="0" w:space="0" w:color="auto"/>
        <w:right w:val="none" w:sz="0" w:space="0" w:color="auto"/>
      </w:divBdr>
    </w:div>
    <w:div w:id="865481702">
      <w:bodyDiv w:val="1"/>
      <w:marLeft w:val="0"/>
      <w:marRight w:val="0"/>
      <w:marTop w:val="0"/>
      <w:marBottom w:val="0"/>
      <w:divBdr>
        <w:top w:val="none" w:sz="0" w:space="0" w:color="auto"/>
        <w:left w:val="none" w:sz="0" w:space="0" w:color="auto"/>
        <w:bottom w:val="none" w:sz="0" w:space="0" w:color="auto"/>
        <w:right w:val="none" w:sz="0" w:space="0" w:color="auto"/>
      </w:divBdr>
    </w:div>
    <w:div w:id="904485258">
      <w:bodyDiv w:val="1"/>
      <w:marLeft w:val="0"/>
      <w:marRight w:val="0"/>
      <w:marTop w:val="0"/>
      <w:marBottom w:val="0"/>
      <w:divBdr>
        <w:top w:val="none" w:sz="0" w:space="0" w:color="auto"/>
        <w:left w:val="none" w:sz="0" w:space="0" w:color="auto"/>
        <w:bottom w:val="none" w:sz="0" w:space="0" w:color="auto"/>
        <w:right w:val="none" w:sz="0" w:space="0" w:color="auto"/>
      </w:divBdr>
    </w:div>
    <w:div w:id="913510366">
      <w:bodyDiv w:val="1"/>
      <w:marLeft w:val="0"/>
      <w:marRight w:val="0"/>
      <w:marTop w:val="0"/>
      <w:marBottom w:val="0"/>
      <w:divBdr>
        <w:top w:val="none" w:sz="0" w:space="0" w:color="auto"/>
        <w:left w:val="none" w:sz="0" w:space="0" w:color="auto"/>
        <w:bottom w:val="none" w:sz="0" w:space="0" w:color="auto"/>
        <w:right w:val="none" w:sz="0" w:space="0" w:color="auto"/>
      </w:divBdr>
    </w:div>
    <w:div w:id="943079052">
      <w:bodyDiv w:val="1"/>
      <w:marLeft w:val="0"/>
      <w:marRight w:val="0"/>
      <w:marTop w:val="0"/>
      <w:marBottom w:val="0"/>
      <w:divBdr>
        <w:top w:val="none" w:sz="0" w:space="0" w:color="auto"/>
        <w:left w:val="none" w:sz="0" w:space="0" w:color="auto"/>
        <w:bottom w:val="none" w:sz="0" w:space="0" w:color="auto"/>
        <w:right w:val="none" w:sz="0" w:space="0" w:color="auto"/>
      </w:divBdr>
    </w:div>
    <w:div w:id="1071269088">
      <w:bodyDiv w:val="1"/>
      <w:marLeft w:val="0"/>
      <w:marRight w:val="0"/>
      <w:marTop w:val="0"/>
      <w:marBottom w:val="0"/>
      <w:divBdr>
        <w:top w:val="none" w:sz="0" w:space="0" w:color="auto"/>
        <w:left w:val="none" w:sz="0" w:space="0" w:color="auto"/>
        <w:bottom w:val="none" w:sz="0" w:space="0" w:color="auto"/>
        <w:right w:val="none" w:sz="0" w:space="0" w:color="auto"/>
      </w:divBdr>
    </w:div>
    <w:div w:id="1104425788">
      <w:bodyDiv w:val="1"/>
      <w:marLeft w:val="0"/>
      <w:marRight w:val="0"/>
      <w:marTop w:val="0"/>
      <w:marBottom w:val="0"/>
      <w:divBdr>
        <w:top w:val="none" w:sz="0" w:space="0" w:color="auto"/>
        <w:left w:val="none" w:sz="0" w:space="0" w:color="auto"/>
        <w:bottom w:val="none" w:sz="0" w:space="0" w:color="auto"/>
        <w:right w:val="none" w:sz="0" w:space="0" w:color="auto"/>
      </w:divBdr>
    </w:div>
    <w:div w:id="1105150356">
      <w:bodyDiv w:val="1"/>
      <w:marLeft w:val="0"/>
      <w:marRight w:val="0"/>
      <w:marTop w:val="0"/>
      <w:marBottom w:val="0"/>
      <w:divBdr>
        <w:top w:val="none" w:sz="0" w:space="0" w:color="auto"/>
        <w:left w:val="none" w:sz="0" w:space="0" w:color="auto"/>
        <w:bottom w:val="none" w:sz="0" w:space="0" w:color="auto"/>
        <w:right w:val="none" w:sz="0" w:space="0" w:color="auto"/>
      </w:divBdr>
    </w:div>
    <w:div w:id="1123040252">
      <w:bodyDiv w:val="1"/>
      <w:marLeft w:val="0"/>
      <w:marRight w:val="0"/>
      <w:marTop w:val="0"/>
      <w:marBottom w:val="0"/>
      <w:divBdr>
        <w:top w:val="none" w:sz="0" w:space="0" w:color="auto"/>
        <w:left w:val="none" w:sz="0" w:space="0" w:color="auto"/>
        <w:bottom w:val="none" w:sz="0" w:space="0" w:color="auto"/>
        <w:right w:val="none" w:sz="0" w:space="0" w:color="auto"/>
      </w:divBdr>
    </w:div>
    <w:div w:id="1140924413">
      <w:bodyDiv w:val="1"/>
      <w:marLeft w:val="0"/>
      <w:marRight w:val="0"/>
      <w:marTop w:val="0"/>
      <w:marBottom w:val="0"/>
      <w:divBdr>
        <w:top w:val="none" w:sz="0" w:space="0" w:color="auto"/>
        <w:left w:val="none" w:sz="0" w:space="0" w:color="auto"/>
        <w:bottom w:val="none" w:sz="0" w:space="0" w:color="auto"/>
        <w:right w:val="none" w:sz="0" w:space="0" w:color="auto"/>
      </w:divBdr>
    </w:div>
    <w:div w:id="1219634924">
      <w:bodyDiv w:val="1"/>
      <w:marLeft w:val="0"/>
      <w:marRight w:val="0"/>
      <w:marTop w:val="0"/>
      <w:marBottom w:val="0"/>
      <w:divBdr>
        <w:top w:val="none" w:sz="0" w:space="0" w:color="auto"/>
        <w:left w:val="none" w:sz="0" w:space="0" w:color="auto"/>
        <w:bottom w:val="none" w:sz="0" w:space="0" w:color="auto"/>
        <w:right w:val="none" w:sz="0" w:space="0" w:color="auto"/>
      </w:divBdr>
    </w:div>
    <w:div w:id="1282958892">
      <w:bodyDiv w:val="1"/>
      <w:marLeft w:val="0"/>
      <w:marRight w:val="0"/>
      <w:marTop w:val="0"/>
      <w:marBottom w:val="0"/>
      <w:divBdr>
        <w:top w:val="none" w:sz="0" w:space="0" w:color="auto"/>
        <w:left w:val="none" w:sz="0" w:space="0" w:color="auto"/>
        <w:bottom w:val="none" w:sz="0" w:space="0" w:color="auto"/>
        <w:right w:val="none" w:sz="0" w:space="0" w:color="auto"/>
      </w:divBdr>
    </w:div>
    <w:div w:id="1303266094">
      <w:bodyDiv w:val="1"/>
      <w:marLeft w:val="0"/>
      <w:marRight w:val="0"/>
      <w:marTop w:val="0"/>
      <w:marBottom w:val="0"/>
      <w:divBdr>
        <w:top w:val="none" w:sz="0" w:space="0" w:color="auto"/>
        <w:left w:val="none" w:sz="0" w:space="0" w:color="auto"/>
        <w:bottom w:val="none" w:sz="0" w:space="0" w:color="auto"/>
        <w:right w:val="none" w:sz="0" w:space="0" w:color="auto"/>
      </w:divBdr>
    </w:div>
    <w:div w:id="1308625997">
      <w:bodyDiv w:val="1"/>
      <w:marLeft w:val="0"/>
      <w:marRight w:val="0"/>
      <w:marTop w:val="0"/>
      <w:marBottom w:val="0"/>
      <w:divBdr>
        <w:top w:val="none" w:sz="0" w:space="0" w:color="auto"/>
        <w:left w:val="none" w:sz="0" w:space="0" w:color="auto"/>
        <w:bottom w:val="none" w:sz="0" w:space="0" w:color="auto"/>
        <w:right w:val="none" w:sz="0" w:space="0" w:color="auto"/>
      </w:divBdr>
    </w:div>
    <w:div w:id="1366252759">
      <w:bodyDiv w:val="1"/>
      <w:marLeft w:val="0"/>
      <w:marRight w:val="0"/>
      <w:marTop w:val="0"/>
      <w:marBottom w:val="0"/>
      <w:divBdr>
        <w:top w:val="none" w:sz="0" w:space="0" w:color="auto"/>
        <w:left w:val="none" w:sz="0" w:space="0" w:color="auto"/>
        <w:bottom w:val="none" w:sz="0" w:space="0" w:color="auto"/>
        <w:right w:val="none" w:sz="0" w:space="0" w:color="auto"/>
      </w:divBdr>
    </w:div>
    <w:div w:id="1397629709">
      <w:bodyDiv w:val="1"/>
      <w:marLeft w:val="0"/>
      <w:marRight w:val="0"/>
      <w:marTop w:val="0"/>
      <w:marBottom w:val="0"/>
      <w:divBdr>
        <w:top w:val="none" w:sz="0" w:space="0" w:color="auto"/>
        <w:left w:val="none" w:sz="0" w:space="0" w:color="auto"/>
        <w:bottom w:val="none" w:sz="0" w:space="0" w:color="auto"/>
        <w:right w:val="none" w:sz="0" w:space="0" w:color="auto"/>
      </w:divBdr>
    </w:div>
    <w:div w:id="1403524702">
      <w:bodyDiv w:val="1"/>
      <w:marLeft w:val="0"/>
      <w:marRight w:val="0"/>
      <w:marTop w:val="0"/>
      <w:marBottom w:val="0"/>
      <w:divBdr>
        <w:top w:val="none" w:sz="0" w:space="0" w:color="auto"/>
        <w:left w:val="none" w:sz="0" w:space="0" w:color="auto"/>
        <w:bottom w:val="none" w:sz="0" w:space="0" w:color="auto"/>
        <w:right w:val="none" w:sz="0" w:space="0" w:color="auto"/>
      </w:divBdr>
    </w:div>
    <w:div w:id="1441140712">
      <w:bodyDiv w:val="1"/>
      <w:marLeft w:val="0"/>
      <w:marRight w:val="0"/>
      <w:marTop w:val="0"/>
      <w:marBottom w:val="0"/>
      <w:divBdr>
        <w:top w:val="none" w:sz="0" w:space="0" w:color="auto"/>
        <w:left w:val="none" w:sz="0" w:space="0" w:color="auto"/>
        <w:bottom w:val="none" w:sz="0" w:space="0" w:color="auto"/>
        <w:right w:val="none" w:sz="0" w:space="0" w:color="auto"/>
      </w:divBdr>
    </w:div>
    <w:div w:id="1453550399">
      <w:bodyDiv w:val="1"/>
      <w:marLeft w:val="0"/>
      <w:marRight w:val="0"/>
      <w:marTop w:val="0"/>
      <w:marBottom w:val="0"/>
      <w:divBdr>
        <w:top w:val="none" w:sz="0" w:space="0" w:color="auto"/>
        <w:left w:val="none" w:sz="0" w:space="0" w:color="auto"/>
        <w:bottom w:val="none" w:sz="0" w:space="0" w:color="auto"/>
        <w:right w:val="none" w:sz="0" w:space="0" w:color="auto"/>
      </w:divBdr>
    </w:div>
    <w:div w:id="1457942663">
      <w:bodyDiv w:val="1"/>
      <w:marLeft w:val="0"/>
      <w:marRight w:val="0"/>
      <w:marTop w:val="0"/>
      <w:marBottom w:val="0"/>
      <w:divBdr>
        <w:top w:val="none" w:sz="0" w:space="0" w:color="auto"/>
        <w:left w:val="none" w:sz="0" w:space="0" w:color="auto"/>
        <w:bottom w:val="none" w:sz="0" w:space="0" w:color="auto"/>
        <w:right w:val="none" w:sz="0" w:space="0" w:color="auto"/>
      </w:divBdr>
    </w:div>
    <w:div w:id="1468664625">
      <w:bodyDiv w:val="1"/>
      <w:marLeft w:val="0"/>
      <w:marRight w:val="0"/>
      <w:marTop w:val="0"/>
      <w:marBottom w:val="0"/>
      <w:divBdr>
        <w:top w:val="none" w:sz="0" w:space="0" w:color="auto"/>
        <w:left w:val="none" w:sz="0" w:space="0" w:color="auto"/>
        <w:bottom w:val="none" w:sz="0" w:space="0" w:color="auto"/>
        <w:right w:val="none" w:sz="0" w:space="0" w:color="auto"/>
      </w:divBdr>
      <w:divsChild>
        <w:div w:id="526527694">
          <w:marLeft w:val="0"/>
          <w:marRight w:val="0"/>
          <w:marTop w:val="0"/>
          <w:marBottom w:val="0"/>
          <w:divBdr>
            <w:top w:val="none" w:sz="0" w:space="0" w:color="auto"/>
            <w:left w:val="none" w:sz="0" w:space="0" w:color="auto"/>
            <w:bottom w:val="none" w:sz="0" w:space="0" w:color="auto"/>
            <w:right w:val="none" w:sz="0" w:space="0" w:color="auto"/>
          </w:divBdr>
          <w:divsChild>
            <w:div w:id="1154567925">
              <w:marLeft w:val="0"/>
              <w:marRight w:val="0"/>
              <w:marTop w:val="0"/>
              <w:marBottom w:val="0"/>
              <w:divBdr>
                <w:top w:val="none" w:sz="0" w:space="0" w:color="auto"/>
                <w:left w:val="none" w:sz="0" w:space="0" w:color="auto"/>
                <w:bottom w:val="none" w:sz="0" w:space="0" w:color="auto"/>
                <w:right w:val="none" w:sz="0" w:space="0" w:color="auto"/>
              </w:divBdr>
              <w:divsChild>
                <w:div w:id="1818261721">
                  <w:marLeft w:val="0"/>
                  <w:marRight w:val="0"/>
                  <w:marTop w:val="0"/>
                  <w:marBottom w:val="0"/>
                  <w:divBdr>
                    <w:top w:val="none" w:sz="0" w:space="0" w:color="auto"/>
                    <w:left w:val="none" w:sz="0" w:space="0" w:color="auto"/>
                    <w:bottom w:val="none" w:sz="0" w:space="0" w:color="auto"/>
                    <w:right w:val="none" w:sz="0" w:space="0" w:color="auto"/>
                  </w:divBdr>
                  <w:divsChild>
                    <w:div w:id="1527133230">
                      <w:marLeft w:val="0"/>
                      <w:marRight w:val="0"/>
                      <w:marTop w:val="0"/>
                      <w:marBottom w:val="0"/>
                      <w:divBdr>
                        <w:top w:val="none" w:sz="0" w:space="0" w:color="auto"/>
                        <w:left w:val="none" w:sz="0" w:space="0" w:color="auto"/>
                        <w:bottom w:val="none" w:sz="0" w:space="0" w:color="auto"/>
                        <w:right w:val="none" w:sz="0" w:space="0" w:color="auto"/>
                      </w:divBdr>
                      <w:divsChild>
                        <w:div w:id="708997494">
                          <w:marLeft w:val="0"/>
                          <w:marRight w:val="0"/>
                          <w:marTop w:val="0"/>
                          <w:marBottom w:val="0"/>
                          <w:divBdr>
                            <w:top w:val="none" w:sz="0" w:space="0" w:color="auto"/>
                            <w:left w:val="none" w:sz="0" w:space="0" w:color="auto"/>
                            <w:bottom w:val="none" w:sz="0" w:space="0" w:color="auto"/>
                            <w:right w:val="none" w:sz="0" w:space="0" w:color="auto"/>
                          </w:divBdr>
                          <w:divsChild>
                            <w:div w:id="1505123566">
                              <w:marLeft w:val="0"/>
                              <w:marRight w:val="0"/>
                              <w:marTop w:val="0"/>
                              <w:marBottom w:val="0"/>
                              <w:divBdr>
                                <w:top w:val="none" w:sz="0" w:space="0" w:color="auto"/>
                                <w:left w:val="none" w:sz="0" w:space="0" w:color="auto"/>
                                <w:bottom w:val="none" w:sz="0" w:space="0" w:color="auto"/>
                                <w:right w:val="none" w:sz="0" w:space="0" w:color="auto"/>
                              </w:divBdr>
                              <w:divsChild>
                                <w:div w:id="1856309481">
                                  <w:marLeft w:val="0"/>
                                  <w:marRight w:val="0"/>
                                  <w:marTop w:val="0"/>
                                  <w:marBottom w:val="0"/>
                                  <w:divBdr>
                                    <w:top w:val="none" w:sz="0" w:space="0" w:color="auto"/>
                                    <w:left w:val="none" w:sz="0" w:space="0" w:color="auto"/>
                                    <w:bottom w:val="none" w:sz="0" w:space="0" w:color="auto"/>
                                    <w:right w:val="none" w:sz="0" w:space="0" w:color="auto"/>
                                  </w:divBdr>
                                  <w:divsChild>
                                    <w:div w:id="92437091">
                                      <w:marLeft w:val="0"/>
                                      <w:marRight w:val="0"/>
                                      <w:marTop w:val="0"/>
                                      <w:marBottom w:val="0"/>
                                      <w:divBdr>
                                        <w:top w:val="none" w:sz="0" w:space="0" w:color="auto"/>
                                        <w:left w:val="none" w:sz="0" w:space="0" w:color="auto"/>
                                        <w:bottom w:val="none" w:sz="0" w:space="0" w:color="auto"/>
                                        <w:right w:val="none" w:sz="0" w:space="0" w:color="auto"/>
                                      </w:divBdr>
                                      <w:divsChild>
                                        <w:div w:id="2111077418">
                                          <w:marLeft w:val="0"/>
                                          <w:marRight w:val="0"/>
                                          <w:marTop w:val="0"/>
                                          <w:marBottom w:val="0"/>
                                          <w:divBdr>
                                            <w:top w:val="none" w:sz="0" w:space="0" w:color="auto"/>
                                            <w:left w:val="none" w:sz="0" w:space="0" w:color="auto"/>
                                            <w:bottom w:val="none" w:sz="0" w:space="0" w:color="auto"/>
                                            <w:right w:val="none" w:sz="0" w:space="0" w:color="auto"/>
                                          </w:divBdr>
                                          <w:divsChild>
                                            <w:div w:id="504168504">
                                              <w:marLeft w:val="0"/>
                                              <w:marRight w:val="0"/>
                                              <w:marTop w:val="0"/>
                                              <w:marBottom w:val="0"/>
                                              <w:divBdr>
                                                <w:top w:val="none" w:sz="0" w:space="0" w:color="auto"/>
                                                <w:left w:val="none" w:sz="0" w:space="0" w:color="auto"/>
                                                <w:bottom w:val="none" w:sz="0" w:space="0" w:color="auto"/>
                                                <w:right w:val="none" w:sz="0" w:space="0" w:color="auto"/>
                                              </w:divBdr>
                                              <w:divsChild>
                                                <w:div w:id="1809711318">
                                                  <w:marLeft w:val="0"/>
                                                  <w:marRight w:val="0"/>
                                                  <w:marTop w:val="0"/>
                                                  <w:marBottom w:val="0"/>
                                                  <w:divBdr>
                                                    <w:top w:val="none" w:sz="0" w:space="0" w:color="auto"/>
                                                    <w:left w:val="none" w:sz="0" w:space="0" w:color="auto"/>
                                                    <w:bottom w:val="none" w:sz="0" w:space="0" w:color="auto"/>
                                                    <w:right w:val="none" w:sz="0" w:space="0" w:color="auto"/>
                                                  </w:divBdr>
                                                  <w:divsChild>
                                                    <w:div w:id="15478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7445">
                                      <w:marLeft w:val="0"/>
                                      <w:marRight w:val="0"/>
                                      <w:marTop w:val="0"/>
                                      <w:marBottom w:val="0"/>
                                      <w:divBdr>
                                        <w:top w:val="none" w:sz="0" w:space="0" w:color="auto"/>
                                        <w:left w:val="none" w:sz="0" w:space="0" w:color="auto"/>
                                        <w:bottom w:val="none" w:sz="0" w:space="0" w:color="auto"/>
                                        <w:right w:val="none" w:sz="0" w:space="0" w:color="auto"/>
                                      </w:divBdr>
                                      <w:divsChild>
                                        <w:div w:id="12764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406928">
          <w:marLeft w:val="0"/>
          <w:marRight w:val="0"/>
          <w:marTop w:val="0"/>
          <w:marBottom w:val="0"/>
          <w:divBdr>
            <w:top w:val="none" w:sz="0" w:space="0" w:color="auto"/>
            <w:left w:val="none" w:sz="0" w:space="0" w:color="auto"/>
            <w:bottom w:val="none" w:sz="0" w:space="0" w:color="auto"/>
            <w:right w:val="none" w:sz="0" w:space="0" w:color="auto"/>
          </w:divBdr>
          <w:divsChild>
            <w:div w:id="865561390">
              <w:marLeft w:val="0"/>
              <w:marRight w:val="0"/>
              <w:marTop w:val="0"/>
              <w:marBottom w:val="0"/>
              <w:divBdr>
                <w:top w:val="none" w:sz="0" w:space="0" w:color="auto"/>
                <w:left w:val="none" w:sz="0" w:space="0" w:color="auto"/>
                <w:bottom w:val="none" w:sz="0" w:space="0" w:color="auto"/>
                <w:right w:val="none" w:sz="0" w:space="0" w:color="auto"/>
              </w:divBdr>
              <w:divsChild>
                <w:div w:id="555051957">
                  <w:marLeft w:val="0"/>
                  <w:marRight w:val="0"/>
                  <w:marTop w:val="0"/>
                  <w:marBottom w:val="0"/>
                  <w:divBdr>
                    <w:top w:val="none" w:sz="0" w:space="0" w:color="auto"/>
                    <w:left w:val="none" w:sz="0" w:space="0" w:color="auto"/>
                    <w:bottom w:val="none" w:sz="0" w:space="0" w:color="auto"/>
                    <w:right w:val="none" w:sz="0" w:space="0" w:color="auto"/>
                  </w:divBdr>
                  <w:divsChild>
                    <w:div w:id="341276297">
                      <w:marLeft w:val="0"/>
                      <w:marRight w:val="0"/>
                      <w:marTop w:val="0"/>
                      <w:marBottom w:val="0"/>
                      <w:divBdr>
                        <w:top w:val="none" w:sz="0" w:space="0" w:color="auto"/>
                        <w:left w:val="none" w:sz="0" w:space="0" w:color="auto"/>
                        <w:bottom w:val="none" w:sz="0" w:space="0" w:color="auto"/>
                        <w:right w:val="none" w:sz="0" w:space="0" w:color="auto"/>
                      </w:divBdr>
                      <w:divsChild>
                        <w:div w:id="8498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355429">
      <w:bodyDiv w:val="1"/>
      <w:marLeft w:val="0"/>
      <w:marRight w:val="0"/>
      <w:marTop w:val="0"/>
      <w:marBottom w:val="0"/>
      <w:divBdr>
        <w:top w:val="none" w:sz="0" w:space="0" w:color="auto"/>
        <w:left w:val="none" w:sz="0" w:space="0" w:color="auto"/>
        <w:bottom w:val="none" w:sz="0" w:space="0" w:color="auto"/>
        <w:right w:val="none" w:sz="0" w:space="0" w:color="auto"/>
      </w:divBdr>
    </w:div>
    <w:div w:id="1513765868">
      <w:bodyDiv w:val="1"/>
      <w:marLeft w:val="0"/>
      <w:marRight w:val="0"/>
      <w:marTop w:val="0"/>
      <w:marBottom w:val="0"/>
      <w:divBdr>
        <w:top w:val="none" w:sz="0" w:space="0" w:color="auto"/>
        <w:left w:val="none" w:sz="0" w:space="0" w:color="auto"/>
        <w:bottom w:val="none" w:sz="0" w:space="0" w:color="auto"/>
        <w:right w:val="none" w:sz="0" w:space="0" w:color="auto"/>
      </w:divBdr>
    </w:div>
    <w:div w:id="1558394521">
      <w:bodyDiv w:val="1"/>
      <w:marLeft w:val="0"/>
      <w:marRight w:val="0"/>
      <w:marTop w:val="0"/>
      <w:marBottom w:val="0"/>
      <w:divBdr>
        <w:top w:val="none" w:sz="0" w:space="0" w:color="auto"/>
        <w:left w:val="none" w:sz="0" w:space="0" w:color="auto"/>
        <w:bottom w:val="none" w:sz="0" w:space="0" w:color="auto"/>
        <w:right w:val="none" w:sz="0" w:space="0" w:color="auto"/>
      </w:divBdr>
    </w:div>
    <w:div w:id="1578125815">
      <w:bodyDiv w:val="1"/>
      <w:marLeft w:val="0"/>
      <w:marRight w:val="0"/>
      <w:marTop w:val="0"/>
      <w:marBottom w:val="0"/>
      <w:divBdr>
        <w:top w:val="none" w:sz="0" w:space="0" w:color="auto"/>
        <w:left w:val="none" w:sz="0" w:space="0" w:color="auto"/>
        <w:bottom w:val="none" w:sz="0" w:space="0" w:color="auto"/>
        <w:right w:val="none" w:sz="0" w:space="0" w:color="auto"/>
      </w:divBdr>
    </w:div>
    <w:div w:id="1620182921">
      <w:bodyDiv w:val="1"/>
      <w:marLeft w:val="0"/>
      <w:marRight w:val="0"/>
      <w:marTop w:val="0"/>
      <w:marBottom w:val="0"/>
      <w:divBdr>
        <w:top w:val="none" w:sz="0" w:space="0" w:color="auto"/>
        <w:left w:val="none" w:sz="0" w:space="0" w:color="auto"/>
        <w:bottom w:val="none" w:sz="0" w:space="0" w:color="auto"/>
        <w:right w:val="none" w:sz="0" w:space="0" w:color="auto"/>
      </w:divBdr>
    </w:div>
    <w:div w:id="1879195321">
      <w:bodyDiv w:val="1"/>
      <w:marLeft w:val="0"/>
      <w:marRight w:val="0"/>
      <w:marTop w:val="0"/>
      <w:marBottom w:val="0"/>
      <w:divBdr>
        <w:top w:val="none" w:sz="0" w:space="0" w:color="auto"/>
        <w:left w:val="none" w:sz="0" w:space="0" w:color="auto"/>
        <w:bottom w:val="none" w:sz="0" w:space="0" w:color="auto"/>
        <w:right w:val="none" w:sz="0" w:space="0" w:color="auto"/>
      </w:divBdr>
    </w:div>
    <w:div w:id="1908807936">
      <w:bodyDiv w:val="1"/>
      <w:marLeft w:val="0"/>
      <w:marRight w:val="0"/>
      <w:marTop w:val="0"/>
      <w:marBottom w:val="0"/>
      <w:divBdr>
        <w:top w:val="none" w:sz="0" w:space="0" w:color="auto"/>
        <w:left w:val="none" w:sz="0" w:space="0" w:color="auto"/>
        <w:bottom w:val="none" w:sz="0" w:space="0" w:color="auto"/>
        <w:right w:val="none" w:sz="0" w:space="0" w:color="auto"/>
      </w:divBdr>
    </w:div>
    <w:div w:id="1953508264">
      <w:bodyDiv w:val="1"/>
      <w:marLeft w:val="0"/>
      <w:marRight w:val="0"/>
      <w:marTop w:val="0"/>
      <w:marBottom w:val="0"/>
      <w:divBdr>
        <w:top w:val="none" w:sz="0" w:space="0" w:color="auto"/>
        <w:left w:val="none" w:sz="0" w:space="0" w:color="auto"/>
        <w:bottom w:val="none" w:sz="0" w:space="0" w:color="auto"/>
        <w:right w:val="none" w:sz="0" w:space="0" w:color="auto"/>
      </w:divBdr>
    </w:div>
    <w:div w:id="2019498836">
      <w:bodyDiv w:val="1"/>
      <w:marLeft w:val="0"/>
      <w:marRight w:val="0"/>
      <w:marTop w:val="0"/>
      <w:marBottom w:val="0"/>
      <w:divBdr>
        <w:top w:val="none" w:sz="0" w:space="0" w:color="auto"/>
        <w:left w:val="none" w:sz="0" w:space="0" w:color="auto"/>
        <w:bottom w:val="none" w:sz="0" w:space="0" w:color="auto"/>
        <w:right w:val="none" w:sz="0" w:space="0" w:color="auto"/>
      </w:divBdr>
    </w:div>
    <w:div w:id="2020427612">
      <w:bodyDiv w:val="1"/>
      <w:marLeft w:val="0"/>
      <w:marRight w:val="0"/>
      <w:marTop w:val="0"/>
      <w:marBottom w:val="0"/>
      <w:divBdr>
        <w:top w:val="none" w:sz="0" w:space="0" w:color="auto"/>
        <w:left w:val="none" w:sz="0" w:space="0" w:color="auto"/>
        <w:bottom w:val="none" w:sz="0" w:space="0" w:color="auto"/>
        <w:right w:val="none" w:sz="0" w:space="0" w:color="auto"/>
      </w:divBdr>
    </w:div>
    <w:div w:id="2030788320">
      <w:bodyDiv w:val="1"/>
      <w:marLeft w:val="0"/>
      <w:marRight w:val="0"/>
      <w:marTop w:val="0"/>
      <w:marBottom w:val="0"/>
      <w:divBdr>
        <w:top w:val="none" w:sz="0" w:space="0" w:color="auto"/>
        <w:left w:val="none" w:sz="0" w:space="0" w:color="auto"/>
        <w:bottom w:val="none" w:sz="0" w:space="0" w:color="auto"/>
        <w:right w:val="none" w:sz="0" w:space="0" w:color="auto"/>
      </w:divBdr>
    </w:div>
    <w:div w:id="2047178618">
      <w:bodyDiv w:val="1"/>
      <w:marLeft w:val="0"/>
      <w:marRight w:val="0"/>
      <w:marTop w:val="0"/>
      <w:marBottom w:val="0"/>
      <w:divBdr>
        <w:top w:val="none" w:sz="0" w:space="0" w:color="auto"/>
        <w:left w:val="none" w:sz="0" w:space="0" w:color="auto"/>
        <w:bottom w:val="none" w:sz="0" w:space="0" w:color="auto"/>
        <w:right w:val="none" w:sz="0" w:space="0" w:color="auto"/>
      </w:divBdr>
    </w:div>
    <w:div w:id="2048604177">
      <w:bodyDiv w:val="1"/>
      <w:marLeft w:val="0"/>
      <w:marRight w:val="0"/>
      <w:marTop w:val="0"/>
      <w:marBottom w:val="0"/>
      <w:divBdr>
        <w:top w:val="none" w:sz="0" w:space="0" w:color="auto"/>
        <w:left w:val="none" w:sz="0" w:space="0" w:color="auto"/>
        <w:bottom w:val="none" w:sz="0" w:space="0" w:color="auto"/>
        <w:right w:val="none" w:sz="0" w:space="0" w:color="auto"/>
      </w:divBdr>
    </w:div>
    <w:div w:id="2057120271">
      <w:bodyDiv w:val="1"/>
      <w:marLeft w:val="0"/>
      <w:marRight w:val="0"/>
      <w:marTop w:val="0"/>
      <w:marBottom w:val="0"/>
      <w:divBdr>
        <w:top w:val="none" w:sz="0" w:space="0" w:color="auto"/>
        <w:left w:val="none" w:sz="0" w:space="0" w:color="auto"/>
        <w:bottom w:val="none" w:sz="0" w:space="0" w:color="auto"/>
        <w:right w:val="none" w:sz="0" w:space="0" w:color="auto"/>
      </w:divBdr>
    </w:div>
    <w:div w:id="2101441048">
      <w:bodyDiv w:val="1"/>
      <w:marLeft w:val="0"/>
      <w:marRight w:val="0"/>
      <w:marTop w:val="0"/>
      <w:marBottom w:val="0"/>
      <w:divBdr>
        <w:top w:val="none" w:sz="0" w:space="0" w:color="auto"/>
        <w:left w:val="none" w:sz="0" w:space="0" w:color="auto"/>
        <w:bottom w:val="none" w:sz="0" w:space="0" w:color="auto"/>
        <w:right w:val="none" w:sz="0" w:space="0" w:color="auto"/>
      </w:divBdr>
    </w:div>
    <w:div w:id="2127036878">
      <w:bodyDiv w:val="1"/>
      <w:marLeft w:val="0"/>
      <w:marRight w:val="0"/>
      <w:marTop w:val="0"/>
      <w:marBottom w:val="0"/>
      <w:divBdr>
        <w:top w:val="none" w:sz="0" w:space="0" w:color="auto"/>
        <w:left w:val="none" w:sz="0" w:space="0" w:color="auto"/>
        <w:bottom w:val="none" w:sz="0" w:space="0" w:color="auto"/>
        <w:right w:val="none" w:sz="0" w:space="0" w:color="auto"/>
      </w:divBdr>
    </w:div>
    <w:div w:id="2127769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efaz.ba.gov.br"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edalyc.org/pdf/3211/321131780002.pdf" TargetMode="External"/><Relationship Id="rId2" Type="http://schemas.openxmlformats.org/officeDocument/2006/relationships/numbering" Target="numbering.xml"/><Relationship Id="rId16" Type="http://schemas.openxmlformats.org/officeDocument/2006/relationships/hyperlink" Target="https://www.sefaz.pe.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folhape.com.br/economia/reducao-do-ipva-em-pernambuco-resulta-em-economia-de-r-504-milhoes-a/328721/"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efaz.ce.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76891-893D-4E0C-B0D2-5414AFE8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3251</Words>
  <Characters>17560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2025-07-06T21:46:00Z</dcterms:created>
  <dcterms:modified xsi:type="dcterms:W3CDTF">2025-07-06T21:46:00Z</dcterms:modified>
</cp:coreProperties>
</file>