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GUERRA DOS BEM-TE-VIS:</w:t>
      </w:r>
      <w:r w:rsidDel="00000000" w:rsidR="00000000" w:rsidRPr="00000000">
        <w:rPr>
          <w:sz w:val="24"/>
          <w:szCs w:val="24"/>
          <w:rtl w:val="0"/>
        </w:rPr>
        <w:t xml:space="preserve"> uma revolta histórico-jurídica contra a opressão no estado do Maranhão (1838 - 1841)</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right"/>
        <w:rPr>
          <w:b w:val="1"/>
          <w:sz w:val="24"/>
          <w:szCs w:val="24"/>
        </w:rPr>
      </w:pPr>
      <w:r w:rsidDel="00000000" w:rsidR="00000000" w:rsidRPr="00000000">
        <w:rPr>
          <w:b w:val="1"/>
          <w:sz w:val="24"/>
          <w:szCs w:val="24"/>
          <w:rtl w:val="0"/>
        </w:rPr>
        <w:t xml:space="preserve">Helder Machado Passos</w:t>
      </w:r>
      <w:r w:rsidDel="00000000" w:rsidR="00000000" w:rsidRPr="00000000">
        <w:rPr>
          <w:b w:val="1"/>
          <w:sz w:val="24"/>
          <w:szCs w:val="24"/>
          <w:vertAlign w:val="superscript"/>
        </w:rPr>
        <w:footnoteReference w:customMarkFollows="0" w:id="0"/>
      </w:r>
      <w:r w:rsidDel="00000000" w:rsidR="00000000" w:rsidRPr="00000000">
        <w:rPr>
          <w:b w:val="1"/>
          <w:sz w:val="24"/>
          <w:szCs w:val="24"/>
          <w:rtl w:val="0"/>
        </w:rPr>
        <w:t xml:space="preserve"> </w:t>
      </w:r>
    </w:p>
    <w:p w:rsidR="00000000" w:rsidDel="00000000" w:rsidP="00000000" w:rsidRDefault="00000000" w:rsidRPr="00000000" w14:paraId="00000004">
      <w:pPr>
        <w:spacing w:line="360" w:lineRule="auto"/>
        <w:jc w:val="right"/>
        <w:rPr>
          <w:b w:val="1"/>
          <w:sz w:val="24"/>
          <w:szCs w:val="24"/>
        </w:rPr>
      </w:pPr>
      <w:r w:rsidDel="00000000" w:rsidR="00000000" w:rsidRPr="00000000">
        <w:rPr>
          <w:b w:val="1"/>
          <w:sz w:val="24"/>
          <w:szCs w:val="24"/>
          <w:rtl w:val="0"/>
        </w:rPr>
        <w:t xml:space="preserve">Lara Castelo Branco Gedeon</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b w:val="1"/>
          <w:sz w:val="24"/>
          <w:szCs w:val="24"/>
        </w:rPr>
      </w:pPr>
      <w:r w:rsidDel="00000000" w:rsidR="00000000" w:rsidRPr="00000000">
        <w:rPr>
          <w:b w:val="1"/>
          <w:sz w:val="24"/>
          <w:szCs w:val="24"/>
          <w:rtl w:val="0"/>
        </w:rPr>
        <w:t xml:space="preserve">Maíra Cardoso Leite de Sá</w:t>
      </w:r>
      <w:r w:rsidDel="00000000" w:rsidR="00000000" w:rsidRPr="00000000">
        <w:rPr>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tabs>
          <w:tab w:val="left" w:leader="none" w:pos="567"/>
        </w:tabs>
        <w:spacing w:line="240" w:lineRule="auto"/>
        <w:ind w:left="-397" w:firstLine="0"/>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7">
      <w:pPr>
        <w:tabs>
          <w:tab w:val="left" w:leader="none" w:pos="567"/>
        </w:tabs>
        <w:spacing w:line="240" w:lineRule="auto"/>
        <w:ind w:left="-397" w:firstLine="0"/>
        <w:jc w:val="righ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8">
      <w:pPr>
        <w:spacing w:line="360" w:lineRule="auto"/>
        <w:jc w:val="center"/>
        <w:rPr>
          <w:b w:val="1"/>
          <w:sz w:val="24"/>
          <w:szCs w:val="24"/>
        </w:rPr>
      </w:pPr>
      <w:r w:rsidDel="00000000" w:rsidR="00000000" w:rsidRPr="00000000">
        <w:rPr>
          <w:b w:val="1"/>
          <w:sz w:val="24"/>
          <w:szCs w:val="24"/>
          <w:rtl w:val="0"/>
        </w:rPr>
        <w:t xml:space="preserve">RESUMO</w:t>
      </w:r>
    </w:p>
    <w:p w:rsidR="00000000" w:rsidDel="00000000" w:rsidP="00000000" w:rsidRDefault="00000000" w:rsidRPr="00000000" w14:paraId="00000009">
      <w:pPr>
        <w:spacing w:after="200" w:line="240" w:lineRule="auto"/>
        <w:ind w:left="2834.645669291339" w:firstLine="0"/>
        <w:jc w:val="both"/>
        <w:rPr>
          <w:sz w:val="20"/>
          <w:szCs w:val="20"/>
        </w:rPr>
      </w:pPr>
      <w:r w:rsidDel="00000000" w:rsidR="00000000" w:rsidRPr="00000000">
        <w:rPr>
          <w:sz w:val="20"/>
          <w:szCs w:val="20"/>
          <w:rtl w:val="0"/>
        </w:rPr>
        <w:t xml:space="preserve">O estudo analisa a Guerra dos Bem-te-vis, popularmente conhecida como Balaiada (1838 - 1841), como uma reação legítima contra a opressão imposta pelo governo vigente e o início da luta oposta às medidas arbitrárias no Maranhão. Assim, busca-se investigar a problemática pelo método científico dedutivo, em pesquisa básica, com abordagem qualitativa e objetivos exploratórios. Ademais, adotou-se os processos bibliográfico e documental para coleta de dados. Por objetivo geral, pretende-se analisar a Guerra dos Bem-te-vis na perspectiva histórica-jurídica e sua relevância para o entendimento hodierno das lutas populares no Maranhão, e por objetivos específicos: investigar historicamente, economicamente e socialmente os antecedentes da Balaiada, examinar a fundamentação jurídica da revolta de acordo com o direito vigente na época e refletir sobre as consequências da Guerra dos Bem-te-vis na formação político-jurídica do Maranhão. Por fim, conclui-se que existem reflexos diretos na contemporaneidade, porém que ainda persistem questões sociais e raciais semelhantes.</w:t>
      </w:r>
    </w:p>
    <w:p w:rsidR="00000000" w:rsidDel="00000000" w:rsidP="00000000" w:rsidRDefault="00000000" w:rsidRPr="00000000" w14:paraId="0000000A">
      <w:pPr>
        <w:spacing w:line="240" w:lineRule="auto"/>
        <w:ind w:left="2834.645669291339" w:firstLine="0"/>
        <w:jc w:val="both"/>
        <w:rPr>
          <w:sz w:val="24"/>
          <w:szCs w:val="24"/>
        </w:rPr>
      </w:pPr>
      <w:r w:rsidDel="00000000" w:rsidR="00000000" w:rsidRPr="00000000">
        <w:rPr>
          <w:b w:val="1"/>
          <w:sz w:val="20"/>
          <w:szCs w:val="20"/>
          <w:rtl w:val="0"/>
        </w:rPr>
        <w:t xml:space="preserve">Palavras-Chave</w:t>
      </w:r>
      <w:r w:rsidDel="00000000" w:rsidR="00000000" w:rsidRPr="00000000">
        <w:rPr>
          <w:sz w:val="20"/>
          <w:szCs w:val="20"/>
          <w:rtl w:val="0"/>
        </w:rPr>
        <w:t xml:space="preserve">: Revolta Popular; Guerra dos Bem-te-vis; Balaiada; Maranhão</w:t>
      </w:r>
      <w:r w:rsidDel="00000000" w:rsidR="00000000" w:rsidRPr="00000000">
        <w:rPr>
          <w:sz w:val="24"/>
          <w:szCs w:val="24"/>
          <w:rtl w:val="0"/>
        </w:rPr>
        <w:t xml:space="preserve">.</w:t>
      </w:r>
    </w:p>
    <w:p w:rsidR="00000000" w:rsidDel="00000000" w:rsidP="00000000" w:rsidRDefault="00000000" w:rsidRPr="00000000" w14:paraId="0000000B">
      <w:pPr>
        <w:spacing w:line="240" w:lineRule="auto"/>
        <w:ind w:left="2834.645669291339" w:firstLine="0"/>
        <w:jc w:val="both"/>
        <w:rPr>
          <w:sz w:val="24"/>
          <w:szCs w:val="24"/>
        </w:rPr>
      </w:pPr>
      <w:r w:rsidDel="00000000" w:rsidR="00000000" w:rsidRPr="00000000">
        <w:rPr>
          <w:rtl w:val="0"/>
        </w:rPr>
      </w:r>
    </w:p>
    <w:p w:rsidR="00000000" w:rsidDel="00000000" w:rsidP="00000000" w:rsidRDefault="00000000" w:rsidRPr="00000000" w14:paraId="0000000C">
      <w:pPr>
        <w:spacing w:line="240" w:lineRule="auto"/>
        <w:jc w:val="center"/>
        <w:rPr>
          <w:b w:val="1"/>
          <w:i w:val="1"/>
          <w:sz w:val="24"/>
          <w:szCs w:val="24"/>
        </w:rPr>
      </w:pPr>
      <w:r w:rsidDel="00000000" w:rsidR="00000000" w:rsidRPr="00000000">
        <w:rPr>
          <w:b w:val="1"/>
          <w:i w:val="1"/>
          <w:sz w:val="24"/>
          <w:szCs w:val="24"/>
          <w:rtl w:val="0"/>
        </w:rPr>
        <w:t xml:space="preserve">ABSTRACT</w:t>
      </w:r>
    </w:p>
    <w:p w:rsidR="00000000" w:rsidDel="00000000" w:rsidP="00000000" w:rsidRDefault="00000000" w:rsidRPr="00000000" w14:paraId="0000000D">
      <w:pPr>
        <w:spacing w:after="240" w:before="240" w:line="240" w:lineRule="auto"/>
        <w:ind w:left="2834.645669291339" w:firstLine="0"/>
        <w:jc w:val="both"/>
        <w:rPr>
          <w:i w:val="1"/>
          <w:sz w:val="20"/>
          <w:szCs w:val="20"/>
        </w:rPr>
      </w:pPr>
      <w:r w:rsidDel="00000000" w:rsidR="00000000" w:rsidRPr="00000000">
        <w:rPr>
          <w:i w:val="1"/>
          <w:sz w:val="20"/>
          <w:szCs w:val="20"/>
          <w:rtl w:val="0"/>
        </w:rPr>
        <w:t xml:space="preserve">The study analyzes the War of the Bem-te-vis, popularly known as the Balaiada (1838–1841), as a legitimate response to the oppression imposed by the ruling government and the beginning of resistance against arbitrary measures in Maranhão. The research uses the deductive scientific method, within basic research, with a qualitative and exploratory approach. For data collection, bibliographic and documentary procedures were applied. The general objective is to analyze the War of the Bem-te-vis from a historical-legal perspective, highlighting its relevance to the contemporary understanding of popular resistance in Maranhão. Specifically, it aims to: investigate the historical, economic, and social causes of the Balaiada, examine the legal basis for the revolt under the law of the time and reflect on its impact on Maranhão’s political and legal development. The study concludes that the conflict has lasting effects today, although many social and racial challenges still remain.</w:t>
      </w:r>
    </w:p>
    <w:p w:rsidR="00000000" w:rsidDel="00000000" w:rsidP="00000000" w:rsidRDefault="00000000" w:rsidRPr="00000000" w14:paraId="0000000E">
      <w:pPr>
        <w:spacing w:before="240" w:line="240" w:lineRule="auto"/>
        <w:ind w:left="2834.645669291339" w:firstLine="0"/>
        <w:jc w:val="both"/>
        <w:rPr>
          <w:b w:val="1"/>
          <w:i w:val="1"/>
          <w:sz w:val="24"/>
          <w:szCs w:val="24"/>
        </w:rPr>
      </w:pPr>
      <w:r w:rsidDel="00000000" w:rsidR="00000000" w:rsidRPr="00000000">
        <w:rPr>
          <w:b w:val="1"/>
          <w:i w:val="1"/>
          <w:sz w:val="20"/>
          <w:szCs w:val="20"/>
          <w:rtl w:val="0"/>
        </w:rPr>
        <w:t xml:space="preserve">Keywords</w:t>
      </w:r>
      <w:r w:rsidDel="00000000" w:rsidR="00000000" w:rsidRPr="00000000">
        <w:rPr>
          <w:i w:val="1"/>
          <w:sz w:val="20"/>
          <w:szCs w:val="20"/>
          <w:rtl w:val="0"/>
        </w:rPr>
        <w:t xml:space="preserve">: Popular Revolt; War of the Bem-te-vis; Balaiada; Maranhão.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1"/>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 Balaiada, também chamada de Guerra dos Bem-te-vis pela forte ligação dos balaios com os ideais do partido liberal, nasceu como um relevante movimento de insurreição popular do Período Regencial no Brasil e prorrogou-se entre 1838 e 1841. No contexto da época, o partido liberal era diferente das concepções atuais e exercia contradição ao outro partido, o dos conservadores, conhecido como cabanos. Nesse aspecto, deflagrada na até então província do Maranhão – também abarcando o Piauí e o Ceará – teve grande enfoque na cidade de Caxias e mobilizou cerca de 12.000 homens (Assunção, 1997). Assim, a revolta teve como base impulsionadora a intensa crise econômica da região, a decadência da condição de vida, a exclusão massiva de camadas populares e a insatisfação com as políticas descentralizadoras do governo imperial (Privado; Reinaldo, 2020).</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Dessa forma, compreende-se que a Guerra dos Bem-te-vis é nada mais do que uma reação legítima contra a opressão imposta pelo governo vigente, tornando-se o ponto inicial da luta contra as medidas arbitrárias no Maranhão. Busca-se entender quais foram as providências jurídicas da época e como esse evento incide nas leis contemporâneas do estado. </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Com o intuito de alcançar o proposto, utiliza-se do método científico dedutivo. Esse é “um raciocínio cujo antecedente é constituído de princípios universais, plenamente inteligíveis; através dele se chega a um consequente menos universal” (Severino, 2013, p. 76), com classificação de pesquisa básica e finalidade de “identificação dos problemas [...], de modo que os resultados das investigações possam se traduzir em contribuições [...]” (</w:t>
      </w:r>
      <w:r w:rsidDel="00000000" w:rsidR="00000000" w:rsidRPr="00000000">
        <w:rPr>
          <w:i w:val="1"/>
          <w:sz w:val="24"/>
          <w:szCs w:val="24"/>
          <w:rtl w:val="0"/>
        </w:rPr>
        <w:t xml:space="preserve">Idem</w:t>
      </w:r>
      <w:r w:rsidDel="00000000" w:rsidR="00000000" w:rsidRPr="00000000">
        <w:rPr>
          <w:sz w:val="24"/>
          <w:szCs w:val="24"/>
          <w:rtl w:val="0"/>
        </w:rPr>
        <w:t xml:space="preserve">, 2013, p. 26). Como complemento, a abordagem qualitativa, compreendida por Severino pelas “sensações subjetivas” (2013, p. 97) e objetivos exploratórios com o propósito de “levantar informações sobre um determinado objeto” (</w:t>
      </w:r>
      <w:r w:rsidDel="00000000" w:rsidR="00000000" w:rsidRPr="00000000">
        <w:rPr>
          <w:i w:val="1"/>
          <w:sz w:val="24"/>
          <w:szCs w:val="24"/>
          <w:rtl w:val="0"/>
        </w:rPr>
        <w:t xml:space="preserve">Idem</w:t>
      </w:r>
      <w:r w:rsidDel="00000000" w:rsidR="00000000" w:rsidRPr="00000000">
        <w:rPr>
          <w:sz w:val="24"/>
          <w:szCs w:val="24"/>
          <w:rtl w:val="0"/>
        </w:rPr>
        <w:t xml:space="preserve">, 2013, p. 107). Para a coleta de dados, abordam-se procedimentos bibliográficos, que refere-se “aquela que se realiza a partir do registro disponível, decorrente de pesquisas anteriores, em documentos impressos, como livros, artigos, teses etc” (</w:t>
      </w:r>
      <w:r w:rsidDel="00000000" w:rsidR="00000000" w:rsidRPr="00000000">
        <w:rPr>
          <w:i w:val="1"/>
          <w:sz w:val="24"/>
          <w:szCs w:val="24"/>
          <w:rtl w:val="0"/>
        </w:rPr>
        <w:t xml:space="preserve">Idem</w:t>
      </w:r>
      <w:r w:rsidDel="00000000" w:rsidR="00000000" w:rsidRPr="00000000">
        <w:rPr>
          <w:sz w:val="24"/>
          <w:szCs w:val="24"/>
          <w:rtl w:val="0"/>
        </w:rPr>
        <w:t xml:space="preserve">, 2013,  p. 106), e documentais, as quais “tem-se como fonte documentos no sentido amplo, ou seja, não só de documentos impressos [...]” (</w:t>
      </w:r>
      <w:r w:rsidDel="00000000" w:rsidR="00000000" w:rsidRPr="00000000">
        <w:rPr>
          <w:i w:val="1"/>
          <w:sz w:val="24"/>
          <w:szCs w:val="24"/>
          <w:rtl w:val="0"/>
        </w:rPr>
        <w:t xml:space="preserve">Idem</w:t>
      </w:r>
      <w:r w:rsidDel="00000000" w:rsidR="00000000" w:rsidRPr="00000000">
        <w:rPr>
          <w:sz w:val="24"/>
          <w:szCs w:val="24"/>
          <w:rtl w:val="0"/>
        </w:rPr>
        <w:t xml:space="preserve">, 2013, p. 106-107).</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ab/>
        <w:t xml:space="preserve">Como objetivo geral, busca-se analisar a Guerra dos Bem-te-vis (1838 - 1841) na perspectiva histórica e jurídica de um movimento contra a opressão, destacando sua relevância para o entendimento contemporâneo das lutas populares no Maranhão, e como objetivos específicos investigar historicamente, economicamente e socialmente os antecedentes da eclosão da Balaiada, examinar a fundamentação jurídica da revolta de acordo com o direito vigente na época, ou seja, legislações coloniais e imperiais e refletir sobre as consequências da Guerra dos Bem-te-vis na formação político-jurídica do Maranhão. A seguir, para contextualizar a análise jurídica, inicia-se com a apresentação do cenário histórico, social e econômico da Balaiada. </w:t>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CONTEXTO HISTÓRICO, SOCIAL E ECONÔMICO PARA A ECLOSÃO DA REVOLTA</w:t>
      </w:r>
      <w:r w:rsidDel="00000000" w:rsidR="00000000" w:rsidRPr="00000000">
        <w:rPr>
          <w:rtl w:val="0"/>
        </w:rPr>
      </w:r>
    </w:p>
    <w:p w:rsidR="00000000" w:rsidDel="00000000" w:rsidP="00000000" w:rsidRDefault="00000000" w:rsidRPr="00000000" w14:paraId="00000017">
      <w:pPr>
        <w:spacing w:line="360" w:lineRule="auto"/>
        <w:ind w:firstLine="720"/>
        <w:jc w:val="both"/>
        <w:rPr>
          <w:b w:val="1"/>
          <w:sz w:val="24"/>
          <w:szCs w:val="24"/>
        </w:rPr>
      </w:pPr>
      <w:r w:rsidDel="00000000" w:rsidR="00000000" w:rsidRPr="00000000">
        <w:rPr>
          <w:sz w:val="24"/>
          <w:szCs w:val="24"/>
          <w:rtl w:val="0"/>
        </w:rPr>
        <w:t xml:space="preserve">A revolta popular caracterizou-se por uma tênue e breve ligação entre camponeses livres e escravos, contexto o qual ainda é raro na história do Brasil (Assunção, 1997). Nessa conjectura:</w:t>
      </w:r>
      <w:r w:rsidDel="00000000" w:rsidR="00000000" w:rsidRPr="00000000">
        <w:rPr>
          <w:rtl w:val="0"/>
        </w:rPr>
      </w:r>
    </w:p>
    <w:p w:rsidR="00000000" w:rsidDel="00000000" w:rsidP="00000000" w:rsidRDefault="00000000" w:rsidRPr="00000000" w14:paraId="00000018">
      <w:pPr>
        <w:spacing w:after="200" w:before="200" w:line="240" w:lineRule="auto"/>
        <w:ind w:left="2267.71653543307" w:firstLine="0"/>
        <w:jc w:val="both"/>
        <w:rPr>
          <w:sz w:val="20"/>
          <w:szCs w:val="20"/>
        </w:rPr>
      </w:pPr>
      <w:r w:rsidDel="00000000" w:rsidR="00000000" w:rsidRPr="00000000">
        <w:rPr>
          <w:sz w:val="20"/>
          <w:szCs w:val="20"/>
          <w:rtl w:val="0"/>
        </w:rPr>
        <w:t xml:space="preserve">O movimento foi sublinhado pelo forte aspecto da presença das esferas subalternas, tais como escravos, negros forros, quilombolas, mestiços, brancos pobres e livres, artesãos etc., ainda que contasse, do mesmo modo, com a assiduidade de profissionais liberais e intelectuais ligados ao Partido Bem-te-vi. (Privado; Reinaldo, 2020, p. 68).</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ab/>
        <w:t xml:space="preserve">Como reflexo desse cenário, as três principais lideranças da Balaiada eram pertencentes de diferentes classes: Raimundo Gomes, Manoel Francisco dos Anjos e Cosme Bento Chagas. O primeiro, em dezembro de 1838, na localidade de Vila da Manga, atualmente denominada cidade de Nina Rodrigues, no interior do Maranhão, foi o responsável por iniciar o que seria a Guerra dos Bem-te-vis. Raimundo, vaqueiro na fazenda do padre Inácio Mendes de Morais e Silva, invadiu e libertou da cadeia o seu irmão que estava preso, acusado de homicídio, após a tratativa via formal ser ignorada (Souza, 2008). Para a surpresa de muitos, os guardas de plantão no dia não só deixaram de reagir ao ataque, como também se juntaram à causa.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É válido recordar que, nesse ponto, diversos movimentos eclodiram no país, revelando que o descontentamento popular já se espalhava pelas mais diversas camadas. Economicamente, a exportação do café havia ultrapassado a do açúcar no começo da década de 1830 (Abreu; Lago, 2010) e, com o fim da legalidade do tráfico de escravos em 1831, emitida pela Lei Feijó, os grades fazendeiros abusaram de seu poder sob os trabalhadores, utilizando a Lei nº 108, de 11 de outubro de 1837, para justificar a permanência forçada na terra até que toda a suposta dívida do mesmo e sua família fosse sanada (</w:t>
      </w:r>
      <w:r w:rsidDel="00000000" w:rsidR="00000000" w:rsidRPr="00000000">
        <w:rPr>
          <w:i w:val="1"/>
          <w:sz w:val="24"/>
          <w:szCs w:val="24"/>
          <w:rtl w:val="0"/>
        </w:rPr>
        <w:t xml:space="preserve">Idem</w:t>
      </w:r>
      <w:r w:rsidDel="00000000" w:rsidR="00000000" w:rsidRPr="00000000">
        <w:rPr>
          <w:sz w:val="24"/>
          <w:szCs w:val="24"/>
          <w:rtl w:val="0"/>
        </w:rPr>
        <w:t xml:space="preserve">, 2010).</w:t>
      </w:r>
    </w:p>
    <w:p w:rsidR="00000000" w:rsidDel="00000000" w:rsidP="00000000" w:rsidRDefault="00000000" w:rsidRPr="00000000" w14:paraId="0000001B">
      <w:pPr>
        <w:spacing w:after="200" w:before="200" w:line="240" w:lineRule="auto"/>
        <w:ind w:left="2267.71653543307" w:firstLine="0"/>
        <w:jc w:val="both"/>
        <w:rPr>
          <w:sz w:val="20"/>
          <w:szCs w:val="20"/>
        </w:rPr>
      </w:pPr>
      <w:r w:rsidDel="00000000" w:rsidR="00000000" w:rsidRPr="00000000">
        <w:rPr>
          <w:sz w:val="20"/>
          <w:szCs w:val="20"/>
          <w:rtl w:val="0"/>
        </w:rPr>
        <w:t xml:space="preserve">[...] foram ouvidos gritos de liberdade, expressos nas lutas que eclodiram nas províncias. Entre essas revoltas se sobressaíram: “a Farroupilha”, no Rio Grande do Sul, a maior guerra civil brasileira;  “A Sabinada e a Revolta dos Escravos Malês”, na Bahia;  “a Cabanagem”, movimento social e popular, queemergiu na província do Pará;  e “a Balaiada, ou Guerra dos    Bem­te­vis”,   movimento social e popular que surgiu na província do Maranhão. (Privado; Reinaldo, 2020, p. 67).</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sz w:val="24"/>
          <w:szCs w:val="24"/>
          <w:rtl w:val="0"/>
        </w:rPr>
        <w:t xml:space="preserve">Grande parte dessa reação deu-se devido a grande instabilidade nacional instaurada com a Independência em 1822 e, posteriormente, com a abdicação de Dom Pedro I, em 1831. Havia, nesse novo cenário de monarquia constitucional, uma dificuldade em organizar o território de forma unificada. No âmbito social, a insatisfação aumentou consideravelmente após a subida do setor oligárquico –  composto, principalmente, pelas elites rurais — ao poder. À vista disso, a oligarquia utilizava-se da Lei dos Prefeitos, baseada na Lei Imperial para justificar o alistamento forçado das camadas populares e impedir que estas se organizassem (Privado; Reinaldo, 2020). </w:t>
      </w:r>
    </w:p>
    <w:p w:rsidR="00000000" w:rsidDel="00000000" w:rsidP="00000000" w:rsidRDefault="00000000" w:rsidRPr="00000000" w14:paraId="0000001D">
      <w:pPr>
        <w:spacing w:after="0" w:before="0" w:line="360" w:lineRule="auto"/>
        <w:ind w:firstLine="708.6614173228347"/>
        <w:jc w:val="both"/>
        <w:rPr>
          <w:sz w:val="20"/>
          <w:szCs w:val="20"/>
        </w:rPr>
      </w:pPr>
      <w:r w:rsidDel="00000000" w:rsidR="00000000" w:rsidRPr="00000000">
        <w:rPr>
          <w:sz w:val="24"/>
          <w:szCs w:val="24"/>
          <w:rtl w:val="0"/>
        </w:rPr>
        <w:t xml:space="preserve">Por outro lado, Manoel Francisco dos Anjos Ferreira, conhecido como Balaio, era artesão e fabricante de balaios – grandes cestos de palha – e se estabeleceu como uma figura central entre os artesãos e camponeses. A origem do nome da revolta foi atribuída a Balaio: “Suspeitas podem ser levantadas por ser ter sido ele pequeno proprietário, possuir gado, ter habilidades de exímio cavaleiro, ter libertado presos políticos e líder respeitado do maior bando armado rebelde”</w:t>
      </w:r>
      <w:r w:rsidDel="00000000" w:rsidR="00000000" w:rsidRPr="00000000">
        <w:rPr>
          <w:sz w:val="20"/>
          <w:szCs w:val="20"/>
          <w:rtl w:val="0"/>
        </w:rPr>
        <w:t xml:space="preserve"> </w:t>
      </w:r>
      <w:r w:rsidDel="00000000" w:rsidR="00000000" w:rsidRPr="00000000">
        <w:rPr>
          <w:sz w:val="24"/>
          <w:szCs w:val="24"/>
          <w:rtl w:val="0"/>
        </w:rPr>
        <w:t xml:space="preserve">(Janotti, 2005, p. 58).</w:t>
      </w:r>
      <w:r w:rsidDel="00000000" w:rsidR="00000000" w:rsidRPr="00000000">
        <w:rPr>
          <w:rtl w:val="0"/>
        </w:rPr>
      </w:r>
    </w:p>
    <w:p w:rsidR="00000000" w:rsidDel="00000000" w:rsidP="00000000" w:rsidRDefault="00000000" w:rsidRPr="00000000" w14:paraId="0000001E">
      <w:pPr>
        <w:spacing w:after="0" w:line="360" w:lineRule="auto"/>
        <w:ind w:firstLine="708.6614173228347"/>
        <w:jc w:val="both"/>
        <w:rPr>
          <w:sz w:val="24"/>
          <w:szCs w:val="24"/>
        </w:rPr>
      </w:pPr>
      <w:r w:rsidDel="00000000" w:rsidR="00000000" w:rsidRPr="00000000">
        <w:rPr>
          <w:sz w:val="24"/>
          <w:szCs w:val="24"/>
          <w:rtl w:val="0"/>
        </w:rPr>
        <w:tab/>
        <w:t xml:space="preserve">Já como líder quilombola e ex-escravizado, Cosme Bento Chagas, ou Negro Cosme, responsabilizou-se por comandar escravizados e libertos pelo interior do Maranhão, principalmente na região de Itapecuru-Mirim. Negro Cosme, anos mais tarde, em 1841, seria a última das líderanças a ser brutalmente abatida pelas tropas repressoras: Luís Alves de Lima, mais conhecido por Duque de Caxias, encarregou-se, por mando do governo central, de suprimir violentamente a revolta que ameaçava o sistema. Nesse </w:t>
      </w:r>
      <w:r w:rsidDel="00000000" w:rsidR="00000000" w:rsidRPr="00000000">
        <w:rPr>
          <w:sz w:val="24"/>
          <w:szCs w:val="24"/>
          <w:rtl w:val="0"/>
        </w:rPr>
        <w:t xml:space="preserve">cenário</w:t>
      </w:r>
      <w:r w:rsidDel="00000000" w:rsidR="00000000" w:rsidRPr="00000000">
        <w:rPr>
          <w:sz w:val="28"/>
          <w:szCs w:val="28"/>
          <w:rtl w:val="0"/>
        </w:rPr>
        <w:t xml:space="preserve"> “</w:t>
      </w:r>
      <w:r w:rsidDel="00000000" w:rsidR="00000000" w:rsidRPr="00000000">
        <w:rPr>
          <w:sz w:val="24"/>
          <w:szCs w:val="24"/>
          <w:rtl w:val="0"/>
        </w:rPr>
        <w:t xml:space="preserve">D.Cosme</w:t>
      </w:r>
      <w:r w:rsidDel="00000000" w:rsidR="00000000" w:rsidRPr="00000000">
        <w:rPr>
          <w:sz w:val="24"/>
          <w:szCs w:val="24"/>
          <w:rtl w:val="0"/>
        </w:rPr>
        <w:t xml:space="preserve"> foi enforcado em praça pública, oferecendo à população o espetáculo de uma punição exemplar. Acabava a Balaiada” (</w:t>
      </w:r>
      <w:r w:rsidDel="00000000" w:rsidR="00000000" w:rsidRPr="00000000">
        <w:rPr>
          <w:i w:val="1"/>
          <w:sz w:val="24"/>
          <w:szCs w:val="24"/>
          <w:rtl w:val="0"/>
        </w:rPr>
        <w:t xml:space="preserve">Idem</w:t>
      </w:r>
      <w:r w:rsidDel="00000000" w:rsidR="00000000" w:rsidRPr="00000000">
        <w:rPr>
          <w:sz w:val="24"/>
          <w:szCs w:val="24"/>
          <w:rtl w:val="0"/>
        </w:rPr>
        <w:t xml:space="preserve">, p. 55, 2005).</w:t>
      </w:r>
    </w:p>
    <w:p w:rsidR="00000000" w:rsidDel="00000000" w:rsidP="00000000" w:rsidRDefault="00000000" w:rsidRPr="00000000" w14:paraId="0000001F">
      <w:pPr>
        <w:spacing w:before="0" w:line="360" w:lineRule="auto"/>
        <w:ind w:firstLine="720"/>
        <w:jc w:val="both"/>
        <w:rPr>
          <w:sz w:val="24"/>
          <w:szCs w:val="24"/>
        </w:rPr>
      </w:pPr>
      <w:r w:rsidDel="00000000" w:rsidR="00000000" w:rsidRPr="00000000">
        <w:rPr>
          <w:sz w:val="24"/>
          <w:szCs w:val="24"/>
          <w:rtl w:val="0"/>
        </w:rPr>
        <w:t xml:space="preserve">Em questão de economia, um ano antes do fim da Balaiada, entre 1839 e 1840, o sistema brasileiro de importação e exportação estava precário (Abreu; Lago, 2010). Desse modo, apesar de sua ampla repercussão, a revolta entrou em declínio por volta de 1840, ano de início do Segundo Reinado e fim do Período Regencial. Segundo Santos (2010), as causas desse enfraquecimento incluíram a desunião entre os rebeldes, traições internas, o abandono do movimento com a antecipação da maioridade de D. Pedro II, o que levou muitos revoltosos a se entregarem mediante promessa de anistia, além de fatores materiais como a fome e as doenças. Ademais, a resposta do Império foi fortemente repressiva, com aplicação de medidas extralegais, prisões arbitrárias, alistamentos forçados e execuções sumárias (Mateus, 2023).</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b w:val="1"/>
          <w:sz w:val="24"/>
          <w:szCs w:val="24"/>
          <w:rtl w:val="0"/>
        </w:rPr>
        <w:t xml:space="preserve">3</w:t>
        <w:tab/>
        <w:t xml:space="preserve">ANÁLISE JURÍDICA</w:t>
      </w: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ab/>
        <w:t xml:space="preserve">Durante o Período Regencial, foram implementadas medidas que inauguraram um processo de descentralização política no Brasil. Nesse contexto, foram instituídos o Código Criminal (1830); a Guarda Nacional (1831); o Código de Processo Criminal (1832) e o Ato Adicional (1834). Tais reformas buscavam adequar o país ao novo modelo político-social em formação, porém, na prática, funcionaram como instrumentos de repressão às camadas populares (Magalhães, 2001).</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Assim, a Revolta dos Bem-te-vis se configura como um movimento social de resistência, representando um reflexo direto da estrutura jurídico-política excludente do Império. Embora existisse uma Constituição inspirada nos ideais do liberalismo, seu conteúdo </w:t>
      </w:r>
      <w:r w:rsidDel="00000000" w:rsidR="00000000" w:rsidRPr="00000000">
        <w:rPr>
          <w:sz w:val="24"/>
          <w:szCs w:val="24"/>
          <w:rtl w:val="0"/>
        </w:rPr>
        <w:t xml:space="preserve">retratava</w:t>
      </w:r>
      <w:r w:rsidDel="00000000" w:rsidR="00000000" w:rsidRPr="00000000">
        <w:rPr>
          <w:sz w:val="24"/>
          <w:szCs w:val="24"/>
          <w:rtl w:val="0"/>
        </w:rPr>
        <w:t xml:space="preserve">, em grande parte, interesses elitistas. A norma afirmava, de forma meramente teórica, que todos eram iguais perante a lei, garantindo aos cidadãos liberdades individuais e o direito à propriedade (Guimarães, 2013). No entanto, a Constituição de 1824 restringia esses direitos fundamentais apenas aos considerados cidadãos, ou seja, aos brasileiros livres e proprietários (Engel, 2008).</w:t>
      </w:r>
    </w:p>
    <w:p w:rsidR="00000000" w:rsidDel="00000000" w:rsidP="00000000" w:rsidRDefault="00000000" w:rsidRPr="00000000" w14:paraId="00000024">
      <w:pPr>
        <w:spacing w:line="360" w:lineRule="auto"/>
        <w:ind w:firstLine="720"/>
        <w:jc w:val="both"/>
        <w:rPr>
          <w:sz w:val="20"/>
          <w:szCs w:val="20"/>
          <w:highlight w:val="yellow"/>
        </w:rPr>
      </w:pPr>
      <w:r w:rsidDel="00000000" w:rsidR="00000000" w:rsidRPr="00000000">
        <w:rPr>
          <w:sz w:val="24"/>
          <w:szCs w:val="24"/>
          <w:rtl w:val="0"/>
        </w:rPr>
        <w:t xml:space="preserve">Com isso, as garantias individuais previstas formalmente, como a liberdade e a propriedade, estavam limitadas a uma minoria privilegiada. Escravizados não eram reconhecidos como sujeitos de direito, considerados, do ponto de vista jurídico, como bens móveis. Já os pobres livres, especialmente os mestiços e sertanejos, eram sistematicamente excluídos dos mecanismos de representação política e do acesso efetivo à justiça. Como consequência, a Revolta dos Bem-te-vis, e, de modo mais amplo, a Balaiada, destacou-se por reunir uma composição social diversa entre os revoltosos (Dias, 2008).</w:t>
      </w:r>
      <w:r w:rsidDel="00000000" w:rsidR="00000000" w:rsidRPr="00000000">
        <w:rPr>
          <w:rtl w:val="0"/>
        </w:rPr>
      </w:r>
    </w:p>
    <w:p w:rsidR="00000000" w:rsidDel="00000000" w:rsidP="00000000" w:rsidRDefault="00000000" w:rsidRPr="00000000" w14:paraId="00000025">
      <w:pPr>
        <w:spacing w:before="0" w:line="360" w:lineRule="auto"/>
        <w:ind w:firstLine="720"/>
        <w:jc w:val="both"/>
        <w:rPr>
          <w:sz w:val="24"/>
          <w:szCs w:val="24"/>
        </w:rPr>
      </w:pPr>
      <w:r w:rsidDel="00000000" w:rsidR="00000000" w:rsidRPr="00000000">
        <w:rPr>
          <w:sz w:val="24"/>
          <w:szCs w:val="24"/>
          <w:rtl w:val="0"/>
        </w:rPr>
        <w:t xml:space="preserve">As pautas apresentadas tinham forte conteúdo político, com ênfase na ampliação dos direitos constitucionais às camadas populares, constantemente perseguidas pelas elites agrárias e pelo próprio Estado. Portanto, isso indicou “diferentes percursos, diferentes </w:t>
      </w:r>
      <w:r w:rsidDel="00000000" w:rsidR="00000000" w:rsidRPr="00000000">
        <w:rPr>
          <w:sz w:val="24"/>
          <w:szCs w:val="24"/>
          <w:rtl w:val="0"/>
        </w:rPr>
        <w:t xml:space="preserve">demandas</w:t>
      </w:r>
      <w:r w:rsidDel="00000000" w:rsidR="00000000" w:rsidRPr="00000000">
        <w:rPr>
          <w:sz w:val="24"/>
          <w:szCs w:val="24"/>
          <w:rtl w:val="0"/>
        </w:rPr>
        <w:t xml:space="preserve">, o que se traduzia em diferentes significados para a luta entre os grupos da elite proprietária, elite intelectual, homens livres pobres e escravos”</w:t>
      </w:r>
      <w:r w:rsidDel="00000000" w:rsidR="00000000" w:rsidRPr="00000000">
        <w:rPr>
          <w:sz w:val="28"/>
          <w:szCs w:val="28"/>
          <w:rtl w:val="0"/>
        </w:rPr>
        <w:t xml:space="preserve"> </w:t>
      </w:r>
      <w:r w:rsidDel="00000000" w:rsidR="00000000" w:rsidRPr="00000000">
        <w:rPr>
          <w:sz w:val="24"/>
          <w:szCs w:val="24"/>
          <w:rtl w:val="0"/>
        </w:rPr>
        <w:t xml:space="preserve">(Iamashita, 2022, p. 358).</w:t>
      </w:r>
      <w:r w:rsidDel="00000000" w:rsidR="00000000" w:rsidRPr="00000000">
        <w:rPr>
          <w:sz w:val="26"/>
          <w:szCs w:val="26"/>
          <w:rtl w:val="0"/>
        </w:rPr>
        <w:t xml:space="preserve"> </w:t>
      </w:r>
      <w:r w:rsidDel="00000000" w:rsidR="00000000" w:rsidRPr="00000000">
        <w:rPr>
          <w:sz w:val="24"/>
          <w:szCs w:val="24"/>
          <w:rtl w:val="0"/>
        </w:rPr>
        <w:t xml:space="preserve">Um exemplo dessa perseguição era o recrutamento militar compulsório, que atingia majoritariamente homens livres pobres. Esses indivíduos estavam submetidos a diversas formas de violência e excluídos da cidadania ativa e da participação nos projetos políticos dominantes da época (Mateus, 2023).</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Após o fim da revolta, não houve qualquer iniciativa legislativa voltada à resolução das causas sociais do conflito. O Estado concentrou esforços na restauração da ordem pública por meio da força, sem demonstrar disposição para reformas estruturais (Mateus, 2023). Embora tenha existido uma anistia parcial, a mesma foi acompanhada de repressão severa contra os principais líderes. Um exemplo conhecido foi o do supracitado Negro Cosme, julgado sob os parâmetros do Código Penal da época (Magalhães, 2001). Isso evidencia que a legalidade vigente funcionava como um mecanismo de manutenção da ordem escravocrata, expressando a seletividade penal e o autoritarismo institucional que caracterizavam o Império.</w:t>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both"/>
        <w:rPr>
          <w:sz w:val="24"/>
          <w:szCs w:val="24"/>
          <w:vertAlign w:val="baseline"/>
        </w:rPr>
      </w:pPr>
      <w:r w:rsidDel="00000000" w:rsidR="00000000" w:rsidRPr="00000000">
        <w:rPr>
          <w:b w:val="1"/>
          <w:sz w:val="24"/>
          <w:szCs w:val="24"/>
          <w:rtl w:val="0"/>
        </w:rPr>
        <w:t xml:space="preserve">3</w:t>
      </w:r>
      <w:r w:rsidDel="00000000" w:rsidR="00000000" w:rsidRPr="00000000">
        <w:rPr>
          <w:b w:val="1"/>
          <w:sz w:val="24"/>
          <w:szCs w:val="24"/>
          <w:vertAlign w:val="baseline"/>
          <w:rtl w:val="0"/>
        </w:rPr>
        <w:t xml:space="preserve">.1</w:t>
      </w:r>
      <w:r w:rsidDel="00000000" w:rsidR="00000000" w:rsidRPr="00000000">
        <w:rPr>
          <w:sz w:val="24"/>
          <w:szCs w:val="24"/>
          <w:vertAlign w:val="baseline"/>
          <w:rtl w:val="0"/>
        </w:rPr>
        <w:tab/>
      </w:r>
      <w:r w:rsidDel="00000000" w:rsidR="00000000" w:rsidRPr="00000000">
        <w:rPr>
          <w:b w:val="1"/>
          <w:sz w:val="24"/>
          <w:szCs w:val="24"/>
          <w:rtl w:val="0"/>
        </w:rPr>
        <w:t xml:space="preserve">Constituição Federal de 1824 </w:t>
      </w: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 Constituição de 1824 utilizava o conceito de cidadania como mecanismo de limitação e não de inclusão (Mateus, 2023). Tal exclusão foi um dos fatores que impulsionaram a Guerra dos Bem-te-vis no Maranhão. Como aponta Neves (2002), a participação política em uma esfera verdadeiramente pública de poder nunca foi uma conquista imediata no Brasil, mas sim um processo longo de enfrentamento às estruturas fundadas na concentração fundiária e na marginalização das maiorias populares. Assim, </w:t>
      </w:r>
      <w:r w:rsidDel="00000000" w:rsidR="00000000" w:rsidRPr="00000000">
        <w:rPr>
          <w:sz w:val="28"/>
          <w:szCs w:val="28"/>
          <w:rtl w:val="0"/>
        </w:rPr>
        <w:t xml:space="preserve">“</w:t>
      </w:r>
      <w:r w:rsidDel="00000000" w:rsidR="00000000" w:rsidRPr="00000000">
        <w:rPr>
          <w:sz w:val="24"/>
          <w:szCs w:val="24"/>
          <w:rtl w:val="0"/>
        </w:rPr>
        <w:t xml:space="preserve">os direitos do homem, por mais fundamentais que sejam, são direitos históricos, ou seja, nascidos em certas circunstâncias, caracterizadas por lutas em defesa de novas liberdades contra velhos poderes” (Bobbio, 2004, p. 25).</w:t>
      </w:r>
    </w:p>
    <w:p w:rsidR="00000000" w:rsidDel="00000000" w:rsidP="00000000" w:rsidRDefault="00000000" w:rsidRPr="00000000" w14:paraId="0000002A">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Nesse viés, a Constituição de 1824, embora inspirada nos ideais liberais europeus, permaneceu desatualizada em relação aos avanços promovidos por essas nações (Mateus, 2023). Desse modo, tornou-se evidente o abismo entre a abstração normativa e a realidade social.</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Em contrapartida, a Constituição Federal de 1988 representou uma ruptura com esse modelo jurídico excludente. Conhecida como “Constituição Cidadã”, instituiu um Estado Democrático de Direito e garantiu direitos fundamentais com caráter universal, incluindo a proteção e a inclusão de grupos historicamente marginalizados. Conforme afirma Barroso (2017), a Carta de 1988 é o maior símbolo de uma transição bem-sucedida: da herança de um Estado autoritário, intolerante e frequentemente violento, para a consolidação de um regime democrático fundado em direitos e garantias individuais e coletivos.</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Dessa forma, enquanto a Constituição de 1824 restringia a cidadania a uma elite econômica e racialmente privilegiada, a de 1988 avança significativamente ao passo que reconhece a cidadania plena como direito de todos. Essa transformação não representa apenas uma mudança legal, mas uma reconstrução profunda do pacto político-social brasileiro, agora orientado pela inclusão, diversidade e justiça social, justamente as demandas que, no século XIX, moveram revoltas como a Balaiada, cujas vozes, embora silenciadas à época, encontram ressonância nas garantias hoje previstas na Constituição de 1988 (Mateus, 2023).</w:t>
      </w:r>
      <w:r w:rsidDel="00000000" w:rsidR="00000000" w:rsidRPr="00000000">
        <w:rPr>
          <w:rtl w:val="0"/>
        </w:rPr>
      </w:r>
    </w:p>
    <w:p w:rsidR="00000000" w:rsidDel="00000000" w:rsidP="00000000" w:rsidRDefault="00000000" w:rsidRPr="00000000" w14:paraId="0000002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F">
      <w:pPr>
        <w:spacing w:line="360" w:lineRule="auto"/>
        <w:jc w:val="both"/>
        <w:rPr>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r>
      <w:r w:rsidDel="00000000" w:rsidR="00000000" w:rsidRPr="00000000">
        <w:rPr>
          <w:b w:val="1"/>
          <w:sz w:val="24"/>
          <w:szCs w:val="24"/>
          <w:rtl w:val="0"/>
        </w:rPr>
        <w:t xml:space="preserve">CONSEQUÊNCIAS JURÍDICAS IMEDIATAS E ATUAIS</w:t>
      </w:r>
      <w:r w:rsidDel="00000000" w:rsidR="00000000" w:rsidRPr="00000000">
        <w:rPr>
          <w:rtl w:val="0"/>
        </w:rPr>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Atualmente, no âmbito estadual, o Maranhão tem buscado, nas últimas décadas, incorporar em sua legislação e nas políticas públicas ações voltadas à reparação histórica e à inclusão social de populações tradicionalmente marginalizadas. Esse movimento representa uma tentativa de resposta contemporânea às demandas que motivaram revoltas populares, como a Balaiada no século XIX, marcadas por reivindicações de justiça social, cidadania plena e acesso à terra.</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Um exemplo significativo é a Lei Estadual nº 9.169, de 16 de abril de 2010, que dispõe sobre a legitimação de terras dos remanescentes das comunidades dos quilombos no estado (Maranhão, 2010). Essa norma representa um avanço importante no reconhecimento jurídico de comunidades descendentes de escravizados que, historicamente, foram excluídas do acesso à terra e à cidadania. Ao reconhecer o direito à posse coletiva da terra, a legislação estadual promove não apenas segurança jurídica, mas também o fortalecimento da identidade cultural e da autonomia desses grupos, atendendo a uma reivindicação ancestral que remonta ao Período Imperial. Além das iniciativas de caráter fundiário, o Maranhão tem desenvolvido políticas públicas voltadas à valorização da memória histórica das lutas populares, que é o caso da criação do Museu da Balaiada, localizado no município de Caxias, um dos principais palcos da revolta.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Ao reconhecer a importância da Balaiada como expressão legítima da resistência popular, o Estado reforça um compromisso simbólico e educativo com a memória dos que foram silenciados pelas estruturas repressoras do Império. Porém, a resistência dos grupos marginalizados — entre eles, as comunidades quilombolas, os povos indígenas, as populações ribeirinhas e os trabalhadores rurais sem terra — permanece necessária, configurando-se como uma continuidade histórica das lutas travadas no século XIX. A invisibilidade social, econômica e política ainda recai sobre esses grupos, o que perpetua o processo de exclusão, dificultando o acesso pleno a direitos fundamentais.</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Ainda que de forma limitada e em constante disputa, essas políticas expressam uma tentativa de enfrentar os legados de desigualdade e exclusão herdados do século XIX e ressignifica, no presente, as bandeiras levantadas pelos balaios, principalmente no que se refere ao acesso à terra, à dignidade e à participação política.</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b w:val="1"/>
          <w:sz w:val="24"/>
          <w:szCs w:val="24"/>
        </w:rPr>
      </w:pPr>
      <w:r w:rsidDel="00000000" w:rsidR="00000000" w:rsidRPr="00000000">
        <w:rPr>
          <w:b w:val="1"/>
          <w:sz w:val="24"/>
          <w:szCs w:val="24"/>
          <w:rtl w:val="0"/>
        </w:rPr>
        <w:t xml:space="preserve">5</w:t>
      </w:r>
      <w:r w:rsidDel="00000000" w:rsidR="00000000" w:rsidRPr="00000000">
        <w:rPr>
          <w:b w:val="1"/>
          <w:sz w:val="24"/>
          <w:szCs w:val="24"/>
          <w:rtl w:val="0"/>
        </w:rPr>
        <w:tab/>
        <w:t xml:space="preserve">CONSIDERAÇÕES FINAIS</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O presente trabalho busca compreender, sob a perspectiva histórico-jurídica, o movimento de insurreição ocorrido no estado do Maranhão durante o período do Brasil Império. Entende-se que a Guerra dos Bem-te-vis emerge como uma expressão de resistência popular contra as estruturas opressoras da época que, baseadas em um sistema jurídico elitista, restringiam direitos fundamentais à maioria da população, Somado a isso, a Constituição de 1824, apesar de ser considerada um marco na garantia de liberdades individuais, ainda sofria com a influência de um Estado autoritário e valia-se do aparato jurídico para a manutenção da política escravocrata e a repressão de movimentos sociais. Nesse sentido, a transformação alcançada pela Constituição de 1988 consolidou um real Estado Democrático de Direito, prezando pela </w:t>
      </w:r>
      <w:r w:rsidDel="00000000" w:rsidR="00000000" w:rsidRPr="00000000">
        <w:rPr>
          <w:sz w:val="24"/>
          <w:szCs w:val="24"/>
          <w:rtl w:val="0"/>
        </w:rPr>
        <w:t xml:space="preserve">inclusão social</w:t>
      </w:r>
      <w:r w:rsidDel="00000000" w:rsidR="00000000" w:rsidRPr="00000000">
        <w:rPr>
          <w:sz w:val="24"/>
          <w:szCs w:val="24"/>
          <w:rtl w:val="0"/>
        </w:rPr>
        <w:t xml:space="preserve"> e pela superação de desigualdades históricas enraizadas na memória nacional.</w:t>
      </w:r>
    </w:p>
    <w:p w:rsidR="00000000" w:rsidDel="00000000" w:rsidP="00000000" w:rsidRDefault="00000000" w:rsidRPr="00000000" w14:paraId="00000037">
      <w:pPr>
        <w:spacing w:line="360" w:lineRule="auto"/>
        <w:jc w:val="both"/>
        <w:rPr>
          <w:sz w:val="24"/>
          <w:szCs w:val="24"/>
        </w:rPr>
      </w:pPr>
      <w:r w:rsidDel="00000000" w:rsidR="00000000" w:rsidRPr="00000000">
        <w:rPr>
          <w:sz w:val="24"/>
          <w:szCs w:val="24"/>
          <w:rtl w:val="0"/>
        </w:rPr>
        <w:tab/>
        <w:t xml:space="preserve">A Balaiada deixou marcas profundas na cronologia do Maranhão que podem ser encontradas até os dias de hoje, fomentando a necessidade de políticas públicas para o enfrentamento dos legados de exclusão e violência advindas do Período Imperial. Assim, é possível citar medidas que visam ao reconhecimento de territórios quilombolas, como a Lei Estadual nº 9.169/2010, e iniciativas de preservação da história, a exemplo do Museu da Balaiada. Entretanto, as providências formuladas pelo Estado ainda são insuficientes para a superação da estrutura marginalizante que afeta as minorias sociais.</w:t>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 </w:t>
        <w:tab/>
        <w:t xml:space="preserve">Povos tradicionalmente marginalizados, como comunidades quilombolas, indígenas e populações periféricas, continuam a enfrentar obstáculos significativos para o pleno exercício de sua cidadania. A insuficiência de políticas públicas estruturantes e a persistência de práticas discriminatórias revelam que o Estado ainda não conseguiu reparar, de forma efetiva, as injustiças históricas que marcaram a formação social brasileira.</w:t>
      </w:r>
    </w:p>
    <w:p w:rsidR="00000000" w:rsidDel="00000000" w:rsidP="00000000" w:rsidRDefault="00000000" w:rsidRPr="00000000" w14:paraId="00000039">
      <w:pPr>
        <w:spacing w:line="360" w:lineRule="auto"/>
        <w:jc w:val="both"/>
        <w:rPr>
          <w:b w:val="1"/>
          <w:sz w:val="24"/>
          <w:szCs w:val="24"/>
        </w:rPr>
      </w:pPr>
      <w:r w:rsidDel="00000000" w:rsidR="00000000" w:rsidRPr="00000000">
        <w:rPr>
          <w:sz w:val="24"/>
          <w:szCs w:val="24"/>
          <w:rtl w:val="0"/>
        </w:rPr>
        <w:tab/>
        <w:t xml:space="preserve">Por fim, conclui-se que a Guerra dos Bem-te-vis constitui um marco fundamental para a compreensão das lutas populares e de sua relevância para a construção de um Estado democrático. O resgate da memória dessa resistência é necessário para a consolidação de políticas públicas comprometidas com a reparação histórica e a efetivação de direitos fundamentais, assegurando que os movimentos de resistência – em específico da Balaiada – continuem a inspirar a construção de uma cidadania plena e inclusiva no Maranhão e, consequentemente, no Brasil. </w:t>
      </w:r>
      <w:r w:rsidDel="00000000" w:rsidR="00000000" w:rsidRPr="00000000">
        <w:rPr>
          <w:rtl w:val="0"/>
        </w:rPr>
      </w:r>
    </w:p>
    <w:p w:rsidR="00000000" w:rsidDel="00000000" w:rsidP="00000000" w:rsidRDefault="00000000" w:rsidRPr="00000000" w14:paraId="0000003A">
      <w:pPr>
        <w:spacing w:after="20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360" w:lineRule="auto"/>
        <w:jc w:val="both"/>
        <w:rPr>
          <w:color w:val="333333"/>
          <w:sz w:val="24"/>
          <w:szCs w:val="24"/>
          <w:highlight w:val="white"/>
        </w:rPr>
      </w:pPr>
      <w:r w:rsidDel="00000000" w:rsidR="00000000" w:rsidRPr="00000000">
        <w:rPr>
          <w:b w:val="1"/>
          <w:sz w:val="24"/>
          <w:szCs w:val="24"/>
          <w:rtl w:val="0"/>
        </w:rPr>
        <w:t xml:space="preserve">REFERÊNCIAS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C">
      <w:pPr>
        <w:spacing w:after="200" w:line="240" w:lineRule="auto"/>
        <w:jc w:val="both"/>
        <w:rPr>
          <w:sz w:val="24"/>
          <w:szCs w:val="24"/>
        </w:rPr>
      </w:pPr>
      <w:r w:rsidDel="00000000" w:rsidR="00000000" w:rsidRPr="00000000">
        <w:rPr>
          <w:sz w:val="24"/>
          <w:szCs w:val="24"/>
          <w:rtl w:val="0"/>
        </w:rPr>
        <w:t xml:space="preserve">ABREU, Marcelo de Paiva; LAGO, Luiz Aranha Corrêa.</w:t>
      </w:r>
      <w:r w:rsidDel="00000000" w:rsidR="00000000" w:rsidRPr="00000000">
        <w:rPr>
          <w:b w:val="1"/>
          <w:sz w:val="24"/>
          <w:szCs w:val="24"/>
          <w:rtl w:val="0"/>
        </w:rPr>
        <w:t xml:space="preserve"> A economia brasileira no império, 1822-1889</w:t>
      </w:r>
      <w:r w:rsidDel="00000000" w:rsidR="00000000" w:rsidRPr="00000000">
        <w:rPr>
          <w:sz w:val="24"/>
          <w:szCs w:val="24"/>
          <w:rtl w:val="0"/>
        </w:rPr>
        <w:t xml:space="preserve">. Textos para discussão, 584, Departamento de Economia PUC-Rio (Brasil). Disponível em: </w:t>
      </w:r>
      <w:hyperlink r:id="rId8">
        <w:r w:rsidDel="00000000" w:rsidR="00000000" w:rsidRPr="00000000">
          <w:rPr>
            <w:sz w:val="24"/>
            <w:szCs w:val="24"/>
            <w:rtl w:val="0"/>
          </w:rPr>
          <w:t xml:space="preserve">https://ideas.repec.org/p/rio/texdis/584.html</w:t>
        </w:r>
      </w:hyperlink>
      <w:r w:rsidDel="00000000" w:rsidR="00000000" w:rsidRPr="00000000">
        <w:rPr>
          <w:sz w:val="24"/>
          <w:szCs w:val="24"/>
          <w:rtl w:val="0"/>
        </w:rPr>
        <w:t xml:space="preserve">. Acesso em: 18 maio 2025. </w:t>
      </w:r>
    </w:p>
    <w:p w:rsidR="00000000" w:rsidDel="00000000" w:rsidP="00000000" w:rsidRDefault="00000000" w:rsidRPr="00000000" w14:paraId="0000003D">
      <w:pPr>
        <w:spacing w:after="200" w:line="240" w:lineRule="auto"/>
        <w:rPr>
          <w:sz w:val="24"/>
          <w:szCs w:val="24"/>
        </w:rPr>
      </w:pPr>
      <w:r w:rsidDel="00000000" w:rsidR="00000000" w:rsidRPr="00000000">
        <w:rPr>
          <w:sz w:val="24"/>
          <w:szCs w:val="24"/>
          <w:rtl w:val="0"/>
        </w:rPr>
        <w:t xml:space="preserve">ASSUNÇÃO, Matthias Röhrig. “Histórias do Balaio”: historiografia, memória oral e as origens da balaiada. </w:t>
      </w:r>
      <w:r w:rsidDel="00000000" w:rsidR="00000000" w:rsidRPr="00000000">
        <w:rPr>
          <w:b w:val="1"/>
          <w:sz w:val="24"/>
          <w:szCs w:val="24"/>
          <w:rtl w:val="0"/>
        </w:rPr>
        <w:t xml:space="preserve">História Oral</w:t>
      </w:r>
      <w:r w:rsidDel="00000000" w:rsidR="00000000" w:rsidRPr="00000000">
        <w:rPr>
          <w:sz w:val="24"/>
          <w:szCs w:val="24"/>
          <w:rtl w:val="0"/>
        </w:rPr>
        <w:t xml:space="preserve">, [S. l.], v. 1, 2009. DOI: 10.51880/ho.v1i0.94. Disponível em: https://revista.historiaoral.org.br/index.php/rho/article/view/94. Acesso em: 18 maio 2025.</w:t>
      </w:r>
    </w:p>
    <w:p w:rsidR="00000000" w:rsidDel="00000000" w:rsidP="00000000" w:rsidRDefault="00000000" w:rsidRPr="00000000" w14:paraId="0000003E">
      <w:pPr>
        <w:spacing w:after="200" w:line="240" w:lineRule="auto"/>
        <w:rPr>
          <w:sz w:val="24"/>
          <w:szCs w:val="24"/>
        </w:rPr>
      </w:pPr>
      <w:r w:rsidDel="00000000" w:rsidR="00000000" w:rsidRPr="00000000">
        <w:rPr>
          <w:sz w:val="24"/>
          <w:szCs w:val="24"/>
          <w:rtl w:val="0"/>
        </w:rPr>
        <w:t xml:space="preserve">BARROSO, L. R. </w:t>
      </w:r>
      <w:r w:rsidDel="00000000" w:rsidR="00000000" w:rsidRPr="00000000">
        <w:rPr>
          <w:b w:val="1"/>
          <w:sz w:val="24"/>
          <w:szCs w:val="24"/>
          <w:rtl w:val="0"/>
        </w:rPr>
        <w:t xml:space="preserve">Vinte anos da constituição brasileira de 1988</w:t>
      </w:r>
      <w:r w:rsidDel="00000000" w:rsidR="00000000" w:rsidRPr="00000000">
        <w:rPr>
          <w:sz w:val="24"/>
          <w:szCs w:val="24"/>
          <w:rtl w:val="0"/>
        </w:rPr>
        <w:t xml:space="preserve">: o estado a que chegamos. Cadernos da Escola de Direito, v. 1, n. 8, 27 mar. 2017.</w:t>
      </w:r>
    </w:p>
    <w:p w:rsidR="00000000" w:rsidDel="00000000" w:rsidP="00000000" w:rsidRDefault="00000000" w:rsidRPr="00000000" w14:paraId="0000003F">
      <w:pPr>
        <w:spacing w:after="200" w:line="240" w:lineRule="auto"/>
        <w:rPr>
          <w:sz w:val="24"/>
          <w:szCs w:val="24"/>
        </w:rPr>
      </w:pPr>
      <w:r w:rsidDel="00000000" w:rsidR="00000000" w:rsidRPr="00000000">
        <w:rPr>
          <w:sz w:val="24"/>
          <w:szCs w:val="24"/>
          <w:rtl w:val="0"/>
        </w:rPr>
        <w:t xml:space="preserve">BOBBIO, Norberto. </w:t>
      </w:r>
      <w:r w:rsidDel="00000000" w:rsidR="00000000" w:rsidRPr="00000000">
        <w:rPr>
          <w:b w:val="1"/>
          <w:sz w:val="24"/>
          <w:szCs w:val="24"/>
          <w:rtl w:val="0"/>
        </w:rPr>
        <w:t xml:space="preserve">A era dos direitos</w:t>
      </w:r>
      <w:r w:rsidDel="00000000" w:rsidR="00000000" w:rsidRPr="00000000">
        <w:rPr>
          <w:sz w:val="24"/>
          <w:szCs w:val="24"/>
          <w:rtl w:val="0"/>
        </w:rPr>
        <w:t xml:space="preserve">. COUTINHO, Carlos Nelson (trad.). Rio de Janeiro: Elsevier, 2004.</w:t>
      </w:r>
    </w:p>
    <w:p w:rsidR="00000000" w:rsidDel="00000000" w:rsidP="00000000" w:rsidRDefault="00000000" w:rsidRPr="00000000" w14:paraId="00000040">
      <w:pPr>
        <w:spacing w:after="200" w:before="200" w:line="240" w:lineRule="auto"/>
        <w:rPr>
          <w:sz w:val="24"/>
          <w:szCs w:val="24"/>
        </w:rPr>
      </w:pPr>
      <w:r w:rsidDel="00000000" w:rsidR="00000000" w:rsidRPr="00000000">
        <w:rPr>
          <w:sz w:val="24"/>
          <w:szCs w:val="24"/>
          <w:rtl w:val="0"/>
        </w:rPr>
        <w:t xml:space="preserve">DIAS, Claudete Maria Miranda. Movimentos Sociais do Século XIX: Resistência e Luta dos Balaios no Piauí. In: MOTTA, Márcia e ZARTH, Paulo (Orgs.). </w:t>
      </w:r>
      <w:r w:rsidDel="00000000" w:rsidR="00000000" w:rsidRPr="00000000">
        <w:rPr>
          <w:b w:val="1"/>
          <w:sz w:val="24"/>
          <w:szCs w:val="24"/>
          <w:rtl w:val="0"/>
        </w:rPr>
        <w:t xml:space="preserve">Formas de resistência camponesa</w:t>
      </w:r>
      <w:r w:rsidDel="00000000" w:rsidR="00000000" w:rsidRPr="00000000">
        <w:rPr>
          <w:sz w:val="24"/>
          <w:szCs w:val="24"/>
          <w:rtl w:val="0"/>
        </w:rPr>
        <w:t xml:space="preserve">: visibilidade e diversidade de conflitos ao longo da história. São Paulo: UNESP; Brasília, DF: MDA, NEAD, 2008, p. 200- 219.</w:t>
      </w:r>
    </w:p>
    <w:p w:rsidR="00000000" w:rsidDel="00000000" w:rsidP="00000000" w:rsidRDefault="00000000" w:rsidRPr="00000000" w14:paraId="00000041">
      <w:pPr>
        <w:spacing w:after="200" w:before="200" w:line="240" w:lineRule="auto"/>
        <w:rPr>
          <w:sz w:val="24"/>
          <w:szCs w:val="24"/>
        </w:rPr>
      </w:pPr>
      <w:r w:rsidDel="00000000" w:rsidR="00000000" w:rsidRPr="00000000">
        <w:rPr>
          <w:sz w:val="24"/>
          <w:szCs w:val="24"/>
          <w:rtl w:val="0"/>
        </w:rPr>
        <w:t xml:space="preserve">ENGEL, Magali Gouveia. </w:t>
      </w:r>
      <w:r w:rsidDel="00000000" w:rsidR="00000000" w:rsidRPr="00000000">
        <w:rPr>
          <w:b w:val="1"/>
          <w:sz w:val="24"/>
          <w:szCs w:val="24"/>
          <w:rtl w:val="0"/>
        </w:rPr>
        <w:t xml:space="preserve">Liberalismo</w:t>
      </w:r>
      <w:r w:rsidDel="00000000" w:rsidR="00000000" w:rsidRPr="00000000">
        <w:rPr>
          <w:sz w:val="24"/>
          <w:szCs w:val="24"/>
          <w:rtl w:val="0"/>
        </w:rPr>
        <w:t xml:space="preserve">. In: VAINFAS, Ronaldo (Org). </w:t>
      </w:r>
      <w:r w:rsidDel="00000000" w:rsidR="00000000" w:rsidRPr="00000000">
        <w:rPr>
          <w:b w:val="1"/>
          <w:sz w:val="24"/>
          <w:szCs w:val="24"/>
          <w:rtl w:val="0"/>
        </w:rPr>
        <w:t xml:space="preserve">Dicionário do Brasil Imperial (1822-1889)</w:t>
      </w:r>
      <w:r w:rsidDel="00000000" w:rsidR="00000000" w:rsidRPr="00000000">
        <w:rPr>
          <w:sz w:val="24"/>
          <w:szCs w:val="24"/>
          <w:rtl w:val="0"/>
        </w:rPr>
        <w:t xml:space="preserve">. Rio de Janeiro: Objetiva, 2008, p. 476-478. </w:t>
      </w:r>
    </w:p>
    <w:p w:rsidR="00000000" w:rsidDel="00000000" w:rsidP="00000000" w:rsidRDefault="00000000" w:rsidRPr="00000000" w14:paraId="00000042">
      <w:pPr>
        <w:spacing w:after="200" w:line="240" w:lineRule="auto"/>
        <w:rPr>
          <w:sz w:val="24"/>
          <w:szCs w:val="24"/>
        </w:rPr>
      </w:pPr>
      <w:r w:rsidDel="00000000" w:rsidR="00000000" w:rsidRPr="00000000">
        <w:rPr>
          <w:sz w:val="24"/>
          <w:szCs w:val="24"/>
          <w:rtl w:val="0"/>
        </w:rPr>
        <w:t xml:space="preserve">GUIMARÃES, Lúcia Maria Paschoal. “Liberalismo moderado: postulados ideológicos e práticas políticas no período regencial (1831-1837)”. In: GUIMARÃES, Lúcia Maria Paschoal; PRADO, Maria Emília (orgs.). </w:t>
      </w:r>
      <w:r w:rsidDel="00000000" w:rsidR="00000000" w:rsidRPr="00000000">
        <w:rPr>
          <w:b w:val="1"/>
          <w:sz w:val="24"/>
          <w:szCs w:val="24"/>
          <w:rtl w:val="0"/>
        </w:rPr>
        <w:t xml:space="preserve">O liberalismo no Brasil Imperial</w:t>
      </w:r>
      <w:r w:rsidDel="00000000" w:rsidR="00000000" w:rsidRPr="00000000">
        <w:rPr>
          <w:sz w:val="24"/>
          <w:szCs w:val="24"/>
          <w:rtl w:val="0"/>
        </w:rPr>
        <w:t xml:space="preserve">: origens, conceitos e prática. Rio de Janeiro: Revan, 2013, p.101-125.</w:t>
      </w:r>
    </w:p>
    <w:p w:rsidR="00000000" w:rsidDel="00000000" w:rsidP="00000000" w:rsidRDefault="00000000" w:rsidRPr="00000000" w14:paraId="00000043">
      <w:pPr>
        <w:spacing w:after="200" w:before="200" w:line="240" w:lineRule="auto"/>
        <w:rPr>
          <w:sz w:val="24"/>
          <w:szCs w:val="24"/>
        </w:rPr>
      </w:pPr>
      <w:r w:rsidDel="00000000" w:rsidR="00000000" w:rsidRPr="00000000">
        <w:rPr>
          <w:sz w:val="24"/>
          <w:szCs w:val="24"/>
          <w:rtl w:val="0"/>
        </w:rPr>
        <w:t xml:space="preserve">IAMASHITA, Léa Maria Carrer. A politização de indivíduos livres e pobres durante a construção do Estado Liberal na província maranhense, entre o início da Regência (1831) e o fim da Balaiada (1841). In: ABRANTES, Elizabeth Sousa; PEREIRA, Jesus. Josenildo de; MATEUS, Yuri Givago Alhadef Sampaio (orgs.). </w:t>
      </w:r>
      <w:r w:rsidDel="00000000" w:rsidR="00000000" w:rsidRPr="00000000">
        <w:rPr>
          <w:b w:val="1"/>
          <w:sz w:val="24"/>
          <w:szCs w:val="24"/>
          <w:rtl w:val="0"/>
        </w:rPr>
        <w:t xml:space="preserve">Histórias e Memórias da Balaiada</w:t>
      </w:r>
      <w:r w:rsidDel="00000000" w:rsidR="00000000" w:rsidRPr="00000000">
        <w:rPr>
          <w:sz w:val="24"/>
          <w:szCs w:val="24"/>
          <w:rtl w:val="0"/>
        </w:rPr>
        <w:t xml:space="preserve">. 1. ed. São Luís: EDUEMA, 2022, p. 345-376.</w:t>
      </w:r>
    </w:p>
    <w:p w:rsidR="00000000" w:rsidDel="00000000" w:rsidP="00000000" w:rsidRDefault="00000000" w:rsidRPr="00000000" w14:paraId="00000044">
      <w:pPr>
        <w:spacing w:after="200" w:line="240" w:lineRule="auto"/>
        <w:rPr>
          <w:sz w:val="24"/>
          <w:szCs w:val="24"/>
        </w:rPr>
      </w:pPr>
      <w:r w:rsidDel="00000000" w:rsidR="00000000" w:rsidRPr="00000000">
        <w:rPr>
          <w:sz w:val="24"/>
          <w:szCs w:val="24"/>
          <w:rtl w:val="0"/>
        </w:rPr>
        <w:t xml:space="preserve">JANOTTI, Maria de Lourdes Mônaco. Balaiada: construção da memória histórica. </w:t>
      </w:r>
      <w:r w:rsidDel="00000000" w:rsidR="00000000" w:rsidRPr="00000000">
        <w:rPr>
          <w:b w:val="1"/>
          <w:sz w:val="24"/>
          <w:szCs w:val="24"/>
          <w:rtl w:val="0"/>
        </w:rPr>
        <w:t xml:space="preserve">Repositório da Produção USP</w:t>
      </w:r>
      <w:r w:rsidDel="00000000" w:rsidR="00000000" w:rsidRPr="00000000">
        <w:rPr>
          <w:sz w:val="24"/>
          <w:szCs w:val="24"/>
          <w:rtl w:val="0"/>
        </w:rPr>
        <w:t xml:space="preserve">, v. 24, n. 1, p. 41-76, 2005. Disponível em: https://doi.org/10.1590/s0101-90742005000100003. Acesso em: 18 maio 2025.</w:t>
      </w:r>
    </w:p>
    <w:p w:rsidR="00000000" w:rsidDel="00000000" w:rsidP="00000000" w:rsidRDefault="00000000" w:rsidRPr="00000000" w14:paraId="00000045">
      <w:pPr>
        <w:spacing w:after="200" w:line="240" w:lineRule="auto"/>
        <w:rPr>
          <w:sz w:val="24"/>
          <w:szCs w:val="24"/>
        </w:rPr>
      </w:pPr>
      <w:r w:rsidDel="00000000" w:rsidR="00000000" w:rsidRPr="00000000">
        <w:rPr>
          <w:sz w:val="24"/>
          <w:szCs w:val="24"/>
          <w:rtl w:val="0"/>
        </w:rPr>
        <w:t xml:space="preserve">MAGALHÃES, Domingos José de. </w:t>
      </w:r>
      <w:r w:rsidDel="00000000" w:rsidR="00000000" w:rsidRPr="00000000">
        <w:rPr>
          <w:b w:val="1"/>
          <w:sz w:val="24"/>
          <w:szCs w:val="24"/>
          <w:rtl w:val="0"/>
        </w:rPr>
        <w:t xml:space="preserve">Memória histórica e documentada da revolução da província do Maranhão desde 1839 até 1840</w:t>
      </w:r>
      <w:r w:rsidDel="00000000" w:rsidR="00000000" w:rsidRPr="00000000">
        <w:rPr>
          <w:sz w:val="24"/>
          <w:szCs w:val="24"/>
          <w:rtl w:val="0"/>
        </w:rPr>
        <w:t xml:space="preserve">. São Paulo: Siciliano, 2001.</w:t>
      </w:r>
    </w:p>
    <w:p w:rsidR="00000000" w:rsidDel="00000000" w:rsidP="00000000" w:rsidRDefault="00000000" w:rsidRPr="00000000" w14:paraId="00000046">
      <w:pPr>
        <w:spacing w:after="200" w:before="200" w:line="240" w:lineRule="auto"/>
        <w:rPr>
          <w:sz w:val="24"/>
          <w:szCs w:val="24"/>
        </w:rPr>
      </w:pPr>
      <w:r w:rsidDel="00000000" w:rsidR="00000000" w:rsidRPr="00000000">
        <w:rPr>
          <w:sz w:val="24"/>
          <w:szCs w:val="24"/>
          <w:rtl w:val="0"/>
        </w:rPr>
        <w:t xml:space="preserve">MARANHÃO. </w:t>
      </w:r>
      <w:r w:rsidDel="00000000" w:rsidR="00000000" w:rsidRPr="00000000">
        <w:rPr>
          <w:b w:val="1"/>
          <w:sz w:val="24"/>
          <w:szCs w:val="24"/>
          <w:rtl w:val="0"/>
        </w:rPr>
        <w:t xml:space="preserve">Lei Estadual nº 9.169, de 16 de abril de 2010</w:t>
      </w:r>
      <w:r w:rsidDel="00000000" w:rsidR="00000000" w:rsidRPr="00000000">
        <w:rPr>
          <w:sz w:val="24"/>
          <w:szCs w:val="24"/>
          <w:rtl w:val="0"/>
        </w:rPr>
        <w:t xml:space="preserve">. Dispõe sobre a legitimação de terras dos remanescentes das comunidades dos quilombos no estado. Maranhão: Assembleia Legislativa do Estado do Maranhão, 2010. Disponível em: https://igualdaderacial.ma.gov.br/uploads/seir/docs/Lei-n%C2%BA-9.169.pdf. Acesso em: 21 maio 2025.</w:t>
      </w:r>
    </w:p>
    <w:p w:rsidR="00000000" w:rsidDel="00000000" w:rsidP="00000000" w:rsidRDefault="00000000" w:rsidRPr="00000000" w14:paraId="00000047">
      <w:pPr>
        <w:spacing w:after="200" w:line="240" w:lineRule="auto"/>
        <w:rPr>
          <w:sz w:val="24"/>
          <w:szCs w:val="24"/>
        </w:rPr>
      </w:pPr>
      <w:r w:rsidDel="00000000" w:rsidR="00000000" w:rsidRPr="00000000">
        <w:rPr>
          <w:sz w:val="24"/>
          <w:szCs w:val="24"/>
          <w:rtl w:val="0"/>
        </w:rPr>
        <w:t xml:space="preserve">MATEUS, Yuri Givago Alhadef Sampaio.</w:t>
      </w:r>
      <w:r w:rsidDel="00000000" w:rsidR="00000000" w:rsidRPr="00000000">
        <w:rPr>
          <w:b w:val="1"/>
          <w:sz w:val="24"/>
          <w:szCs w:val="24"/>
          <w:rtl w:val="0"/>
        </w:rPr>
        <w:t xml:space="preserve"> </w:t>
      </w:r>
      <w:r w:rsidDel="00000000" w:rsidR="00000000" w:rsidRPr="00000000">
        <w:rPr>
          <w:b w:val="1"/>
          <w:i w:val="1"/>
          <w:sz w:val="24"/>
          <w:szCs w:val="24"/>
          <w:rtl w:val="0"/>
        </w:rPr>
        <w:t xml:space="preserve">A (Des)Ordem Imperial Brasileira</w:t>
      </w:r>
      <w:r w:rsidDel="00000000" w:rsidR="00000000" w:rsidRPr="00000000">
        <w:rPr>
          <w:i w:val="1"/>
          <w:sz w:val="24"/>
          <w:szCs w:val="24"/>
          <w:rtl w:val="0"/>
        </w:rPr>
        <w:t xml:space="preserve">:</w:t>
      </w:r>
      <w:r w:rsidDel="00000000" w:rsidR="00000000" w:rsidRPr="00000000">
        <w:rPr>
          <w:sz w:val="24"/>
          <w:szCs w:val="24"/>
          <w:rtl w:val="0"/>
        </w:rPr>
        <w:t xml:space="preserve"> as lutas populares por cidadania no Maranhão no contexto de construção do Estado Nacional (1823-1841). 2023. 273 f. Tese (Doutorado em História) – Universidade Federal do Maranhão, São Luís, 2023. Disponível em: https://tede2.ufma.br/jspui/bitstream/tede/4912/2/YURIGIVAGOALHADEFSAMPAIOMATEUS.pdf. Acesso em: 21 maio 2025.</w:t>
      </w:r>
    </w:p>
    <w:p w:rsidR="00000000" w:rsidDel="00000000" w:rsidP="00000000" w:rsidRDefault="00000000" w:rsidRPr="00000000" w14:paraId="00000048">
      <w:pPr>
        <w:spacing w:after="200" w:before="200" w:line="240" w:lineRule="auto"/>
        <w:rPr>
          <w:sz w:val="24"/>
          <w:szCs w:val="24"/>
        </w:rPr>
      </w:pPr>
      <w:r w:rsidDel="00000000" w:rsidR="00000000" w:rsidRPr="00000000">
        <w:rPr>
          <w:sz w:val="24"/>
          <w:szCs w:val="24"/>
          <w:rtl w:val="0"/>
        </w:rPr>
        <w:t xml:space="preserve">NEVES, Lúcia M. Bastos P. </w:t>
      </w:r>
      <w:r w:rsidDel="00000000" w:rsidR="00000000" w:rsidRPr="00000000">
        <w:rPr>
          <w:b w:val="1"/>
          <w:sz w:val="24"/>
          <w:szCs w:val="24"/>
          <w:rtl w:val="0"/>
        </w:rPr>
        <w:t xml:space="preserve">Cidadania e Participação Política na Época da Independência Do Brasil</w:t>
      </w:r>
      <w:r w:rsidDel="00000000" w:rsidR="00000000" w:rsidRPr="00000000">
        <w:rPr>
          <w:sz w:val="24"/>
          <w:szCs w:val="24"/>
          <w:rtl w:val="0"/>
        </w:rPr>
        <w:t xml:space="preserve">. Cad. Cedes, Campinas, v. 22, n. 58, 2002, p. 47-64.</w:t>
      </w:r>
    </w:p>
    <w:p w:rsidR="00000000" w:rsidDel="00000000" w:rsidP="00000000" w:rsidRDefault="00000000" w:rsidRPr="00000000" w14:paraId="00000049">
      <w:pPr>
        <w:spacing w:after="200" w:line="240" w:lineRule="auto"/>
        <w:rPr>
          <w:sz w:val="24"/>
          <w:szCs w:val="24"/>
        </w:rPr>
      </w:pPr>
      <w:r w:rsidDel="00000000" w:rsidR="00000000" w:rsidRPr="00000000">
        <w:rPr>
          <w:sz w:val="24"/>
          <w:szCs w:val="24"/>
          <w:rtl w:val="0"/>
        </w:rPr>
        <w:t xml:space="preserve">SANTOS, Sandra Regina Rodrigues dos. </w:t>
      </w:r>
      <w:r w:rsidDel="00000000" w:rsidR="00000000" w:rsidRPr="00000000">
        <w:rPr>
          <w:b w:val="1"/>
          <w:sz w:val="24"/>
          <w:szCs w:val="24"/>
          <w:rtl w:val="0"/>
        </w:rPr>
        <w:t xml:space="preserve">A Balaiada no Sertão</w:t>
      </w:r>
      <w:r w:rsidDel="00000000" w:rsidR="00000000" w:rsidRPr="00000000">
        <w:rPr>
          <w:sz w:val="24"/>
          <w:szCs w:val="24"/>
          <w:rtl w:val="0"/>
        </w:rPr>
        <w:t xml:space="preserve">: a pluralidade de uma revolta. 1. ed. São Luís: Editora UEMA, 2010.</w:t>
      </w:r>
    </w:p>
    <w:p w:rsidR="00000000" w:rsidDel="00000000" w:rsidP="00000000" w:rsidRDefault="00000000" w:rsidRPr="00000000" w14:paraId="0000004A">
      <w:pPr>
        <w:spacing w:after="200" w:line="240" w:lineRule="auto"/>
        <w:rPr>
          <w:sz w:val="24"/>
          <w:szCs w:val="24"/>
        </w:rPr>
      </w:pPr>
      <w:r w:rsidDel="00000000" w:rsidR="00000000" w:rsidRPr="00000000">
        <w:rPr>
          <w:sz w:val="24"/>
          <w:szCs w:val="24"/>
          <w:rtl w:val="0"/>
        </w:rPr>
        <w:t xml:space="preserve">PRIVADO, Rafael de Jesus Pinheiro; REINALDO, Telma Bonifácio dos Santos.</w:t>
      </w:r>
      <w:r w:rsidDel="00000000" w:rsidR="00000000" w:rsidRPr="00000000">
        <w:rPr>
          <w:b w:val="1"/>
          <w:sz w:val="24"/>
          <w:szCs w:val="24"/>
          <w:rtl w:val="0"/>
        </w:rPr>
        <w:t xml:space="preserve"> A BALAIADA NO MARANHÃO</w:t>
      </w:r>
      <w:r w:rsidDel="00000000" w:rsidR="00000000" w:rsidRPr="00000000">
        <w:rPr>
          <w:sz w:val="24"/>
          <w:szCs w:val="24"/>
          <w:rtl w:val="0"/>
        </w:rPr>
        <w:t xml:space="preserve">: uma revisão historiográfica. Humanidades e Educação, Imperatriz (MA), v. 2, n. 3, p. 65­76, jul./dez. 2020. Disponível em: </w:t>
      </w:r>
      <w:hyperlink r:id="rId9">
        <w:r w:rsidDel="00000000" w:rsidR="00000000" w:rsidRPr="00000000">
          <w:rPr>
            <w:sz w:val="24"/>
            <w:szCs w:val="24"/>
            <w:rtl w:val="0"/>
          </w:rPr>
          <w:t xml:space="preserve">https://periodicoseletronicos.ufma.br/index.php/humanidadeseeducacao/article/view/14156</w:t>
        </w:r>
      </w:hyperlink>
      <w:r w:rsidDel="00000000" w:rsidR="00000000" w:rsidRPr="00000000">
        <w:rPr>
          <w:sz w:val="24"/>
          <w:szCs w:val="24"/>
          <w:rtl w:val="0"/>
        </w:rPr>
        <w:t xml:space="preserve">. Acesso em: 18 maio 2025.</w:t>
      </w:r>
    </w:p>
    <w:p w:rsidR="00000000" w:rsidDel="00000000" w:rsidP="00000000" w:rsidRDefault="00000000" w:rsidRPr="00000000" w14:paraId="0000004B">
      <w:pPr>
        <w:spacing w:after="200" w:line="240" w:lineRule="auto"/>
        <w:rPr>
          <w:sz w:val="24"/>
          <w:szCs w:val="24"/>
        </w:rPr>
      </w:pPr>
      <w:r w:rsidDel="00000000" w:rsidR="00000000" w:rsidRPr="00000000">
        <w:rPr>
          <w:sz w:val="24"/>
          <w:szCs w:val="24"/>
          <w:rtl w:val="0"/>
        </w:rPr>
        <w:t xml:space="preserve">SANTOS, Sandra Regina Rodrigues dos. </w:t>
      </w:r>
      <w:r w:rsidDel="00000000" w:rsidR="00000000" w:rsidRPr="00000000">
        <w:rPr>
          <w:b w:val="1"/>
          <w:sz w:val="24"/>
          <w:szCs w:val="24"/>
          <w:rtl w:val="0"/>
        </w:rPr>
        <w:t xml:space="preserve">A Balaiada no Sertão</w:t>
      </w:r>
      <w:r w:rsidDel="00000000" w:rsidR="00000000" w:rsidRPr="00000000">
        <w:rPr>
          <w:sz w:val="24"/>
          <w:szCs w:val="24"/>
          <w:rtl w:val="0"/>
        </w:rPr>
        <w:t xml:space="preserve">: a pluralidade de uma revolta. 1. ed. São Luís: Editora UEMA, 2010.</w:t>
      </w:r>
    </w:p>
    <w:p w:rsidR="00000000" w:rsidDel="00000000" w:rsidP="00000000" w:rsidRDefault="00000000" w:rsidRPr="00000000" w14:paraId="0000004C">
      <w:pPr>
        <w:spacing w:after="200" w:line="240" w:lineRule="auto"/>
        <w:rPr>
          <w:sz w:val="24"/>
          <w:szCs w:val="24"/>
        </w:rPr>
      </w:pPr>
      <w:r w:rsidDel="00000000" w:rsidR="00000000" w:rsidRPr="00000000">
        <w:rPr>
          <w:sz w:val="24"/>
          <w:szCs w:val="24"/>
          <w:rtl w:val="0"/>
        </w:rPr>
        <w:t xml:space="preserve">SEVERINO, Antônio Joaquim. </w:t>
      </w:r>
      <w:r w:rsidDel="00000000" w:rsidR="00000000" w:rsidRPr="00000000">
        <w:rPr>
          <w:b w:val="1"/>
          <w:sz w:val="24"/>
          <w:szCs w:val="24"/>
          <w:rtl w:val="0"/>
        </w:rPr>
        <w:t xml:space="preserve">Metodologia do Trabalho Científico</w:t>
      </w:r>
      <w:r w:rsidDel="00000000" w:rsidR="00000000" w:rsidRPr="00000000">
        <w:rPr>
          <w:sz w:val="24"/>
          <w:szCs w:val="24"/>
          <w:rtl w:val="0"/>
        </w:rPr>
        <w:t xml:space="preserve">. São Paulo: Cortez, 2013.</w:t>
      </w:r>
    </w:p>
    <w:p w:rsidR="00000000" w:rsidDel="00000000" w:rsidP="00000000" w:rsidRDefault="00000000" w:rsidRPr="00000000" w14:paraId="0000004D">
      <w:pPr>
        <w:spacing w:after="200" w:line="240" w:lineRule="auto"/>
        <w:rPr>
          <w:sz w:val="24"/>
          <w:szCs w:val="24"/>
        </w:rPr>
      </w:pPr>
      <w:r w:rsidDel="00000000" w:rsidR="00000000" w:rsidRPr="00000000">
        <w:rPr>
          <w:sz w:val="24"/>
          <w:szCs w:val="24"/>
          <w:rtl w:val="0"/>
        </w:rPr>
        <w:t xml:space="preserve">SOUZA, Adriana Barreto de. </w:t>
      </w:r>
      <w:r w:rsidDel="00000000" w:rsidR="00000000" w:rsidRPr="00000000">
        <w:rPr>
          <w:b w:val="1"/>
          <w:sz w:val="24"/>
          <w:szCs w:val="24"/>
          <w:rtl w:val="0"/>
        </w:rPr>
        <w:t xml:space="preserve">O resgate do que se desmancha</w:t>
      </w:r>
      <w:r w:rsidDel="00000000" w:rsidR="00000000" w:rsidRPr="00000000">
        <w:rPr>
          <w:sz w:val="24"/>
          <w:szCs w:val="24"/>
          <w:rtl w:val="0"/>
        </w:rPr>
        <w:t xml:space="preserve">: a cartografia da pacificação da Balaiada. Topoi, v. 9, n. 16, jan.-jun. 2008, p. 233-257.</w:t>
      </w:r>
    </w:p>
    <w:p w:rsidR="00000000" w:rsidDel="00000000" w:rsidP="00000000" w:rsidRDefault="00000000" w:rsidRPr="00000000" w14:paraId="0000004E">
      <w:pPr>
        <w:spacing w:after="200" w:lineRule="auto"/>
        <w:jc w:val="both"/>
        <w:rPr>
          <w:rFonts w:ascii="Calibri" w:cs="Calibri" w:eastAsia="Calibri" w:hAnsi="Calibri"/>
          <w:sz w:val="24"/>
          <w:szCs w:val="24"/>
        </w:rPr>
      </w:pPr>
      <w:r w:rsidDel="00000000" w:rsidR="00000000" w:rsidRPr="00000000">
        <w:rPr>
          <w:rtl w:val="0"/>
        </w:rPr>
      </w:r>
    </w:p>
    <w:sectPr>
      <w:headerReference r:id="rId10"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Doutor em Filosofia (USP), Mestre em Ética e Política (UFPB), Especialista em Filosofia (UFMA), Professor e Tutor do PET/Direito (UFMA), e-mail: </w:t>
      </w:r>
      <w:hyperlink r:id="rId1">
        <w:r w:rsidDel="00000000" w:rsidR="00000000" w:rsidRPr="00000000">
          <w:rPr>
            <w:sz w:val="20"/>
            <w:szCs w:val="20"/>
            <w:rtl w:val="0"/>
          </w:rPr>
          <w:t xml:space="preserve">helder.passos@ufma.br</w:t>
        </w:r>
      </w:hyperlink>
      <w:r w:rsidDel="00000000" w:rsidR="00000000" w:rsidRPr="00000000">
        <w:rPr>
          <w:sz w:val="20"/>
          <w:szCs w:val="20"/>
          <w:rtl w:val="0"/>
        </w:rPr>
        <w:t xml:space="preserve">;</w:t>
      </w:r>
    </w:p>
  </w:footnote>
  <w:footnote w:id="1">
    <w:p w:rsidR="00000000" w:rsidDel="00000000" w:rsidP="00000000" w:rsidRDefault="00000000" w:rsidRPr="00000000" w14:paraId="0000005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Graduanda em Direito, Universidade Federal do Maranhão, Brasil; e-mail: lara.gedeon@discente.ufma.br;</w:t>
      </w:r>
      <w:r w:rsidDel="00000000" w:rsidR="00000000" w:rsidRPr="00000000">
        <w:rPr>
          <w:rtl w:val="0"/>
        </w:rPr>
      </w:r>
    </w:p>
  </w:footnote>
  <w:footnote w:id="2">
    <w:p w:rsidR="00000000" w:rsidDel="00000000" w:rsidP="00000000" w:rsidRDefault="00000000" w:rsidRPr="00000000" w14:paraId="00000052">
      <w:pPr>
        <w:spacing w:line="240" w:lineRule="auto"/>
        <w:jc w:val="both"/>
        <w:rPr>
          <w:b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Graduanda em Direito, Universidade Federal do Maranhão, Brasil; e-mail: maira.cardoso@discente.ufma.br.</w:t>
      </w:r>
      <w:r w:rsidDel="00000000" w:rsidR="00000000" w:rsidRPr="00000000">
        <w:rPr>
          <w:rtl w:val="0"/>
        </w:rPr>
      </w:r>
    </w:p>
    <w:p w:rsidR="00000000" w:rsidDel="00000000" w:rsidP="00000000" w:rsidRDefault="00000000" w:rsidRPr="00000000" w14:paraId="0000005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periodicoseletronicos.ufma.br/index.php/humanidadeseeducacao/article/view/1415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ideas.repec.org/p/rio/texdis/584.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helder.passos@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Tc+ojKS2TF5jYED7hGe6uBUsQ==">CgMxLjA4AHIhMXpucVJYNVF3SkdrbkNNZFFHLXFnd2o1VThmYnNheWFU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