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2DD4A" w14:textId="14CA737A" w:rsidR="005C4655" w:rsidRPr="00767AFC" w:rsidRDefault="00D71667" w:rsidP="00495C49">
      <w:pPr>
        <w:spacing w:line="240" w:lineRule="auto"/>
        <w:jc w:val="center"/>
        <w:rPr>
          <w:bCs/>
          <w:sz w:val="24"/>
          <w:szCs w:val="24"/>
        </w:rPr>
      </w:pPr>
      <w:r w:rsidRPr="00767AFC">
        <w:rPr>
          <w:b/>
          <w:sz w:val="24"/>
          <w:szCs w:val="24"/>
        </w:rPr>
        <w:t xml:space="preserve">DEFININDO A “PENA DE MORTE SOCIAL” NO SISTEMA PRISIONAL: </w:t>
      </w:r>
      <w:r w:rsidRPr="00767AFC">
        <w:rPr>
          <w:bCs/>
          <w:sz w:val="24"/>
          <w:szCs w:val="24"/>
        </w:rPr>
        <w:t>Uma análise crítica-reflexiva acerca do Estado racista, colonial e punitivista sob corpos negros.</w:t>
      </w:r>
    </w:p>
    <w:p w14:paraId="5318DB0D" w14:textId="55683162" w:rsidR="00682B73" w:rsidRPr="00736856" w:rsidRDefault="00682B73" w:rsidP="00736856">
      <w:pPr>
        <w:spacing w:line="240" w:lineRule="auto"/>
        <w:ind w:left="5760"/>
        <w:jc w:val="both"/>
        <w:rPr>
          <w:bCs/>
          <w:sz w:val="24"/>
          <w:szCs w:val="24"/>
          <w:vertAlign w:val="superscript"/>
        </w:rPr>
      </w:pPr>
      <w:r>
        <w:rPr>
          <w:bCs/>
          <w:sz w:val="24"/>
          <w:szCs w:val="24"/>
        </w:rPr>
        <w:t xml:space="preserve">Kaline de Almeida </w:t>
      </w:r>
      <w:r w:rsidR="00736856">
        <w:rPr>
          <w:bCs/>
          <w:sz w:val="24"/>
          <w:szCs w:val="24"/>
        </w:rPr>
        <w:t>Leite</w:t>
      </w:r>
      <w:r w:rsidR="00554D3A">
        <w:rPr>
          <w:rStyle w:val="Refdenotaderodap"/>
          <w:bCs/>
          <w:sz w:val="24"/>
          <w:szCs w:val="24"/>
        </w:rPr>
        <w:footnoteReference w:id="1"/>
      </w:r>
    </w:p>
    <w:p w14:paraId="6F60F05C" w14:textId="77777777" w:rsidR="00F24D28" w:rsidRDefault="00F24D28" w:rsidP="004F776F">
      <w:pPr>
        <w:spacing w:line="240" w:lineRule="auto"/>
        <w:ind w:left="2835"/>
        <w:jc w:val="both"/>
        <w:rPr>
          <w:b/>
          <w:sz w:val="20"/>
          <w:szCs w:val="20"/>
        </w:rPr>
      </w:pPr>
    </w:p>
    <w:p w14:paraId="72B28482" w14:textId="77777777" w:rsidR="00F24D28" w:rsidRDefault="00F24D28" w:rsidP="004F776F">
      <w:pPr>
        <w:spacing w:line="240" w:lineRule="auto"/>
        <w:ind w:left="2835"/>
        <w:jc w:val="both"/>
        <w:rPr>
          <w:b/>
          <w:sz w:val="20"/>
          <w:szCs w:val="20"/>
        </w:rPr>
      </w:pPr>
    </w:p>
    <w:p w14:paraId="4CB01395" w14:textId="1D236A52" w:rsidR="004F776F" w:rsidRDefault="004F776F" w:rsidP="004F776F">
      <w:pPr>
        <w:spacing w:line="240" w:lineRule="auto"/>
        <w:ind w:left="2835"/>
        <w:jc w:val="both"/>
        <w:rPr>
          <w:b/>
          <w:sz w:val="20"/>
          <w:szCs w:val="20"/>
        </w:rPr>
      </w:pPr>
      <w:r>
        <w:rPr>
          <w:b/>
          <w:sz w:val="20"/>
          <w:szCs w:val="20"/>
        </w:rPr>
        <w:t>Resumo</w:t>
      </w:r>
    </w:p>
    <w:p w14:paraId="4E5A1763" w14:textId="77777777" w:rsidR="00886642" w:rsidRDefault="00886642" w:rsidP="004F776F">
      <w:pPr>
        <w:spacing w:line="240" w:lineRule="auto"/>
        <w:ind w:left="2835"/>
        <w:jc w:val="both"/>
        <w:rPr>
          <w:sz w:val="20"/>
          <w:szCs w:val="20"/>
        </w:rPr>
      </w:pPr>
      <w:r w:rsidRPr="00886642">
        <w:rPr>
          <w:sz w:val="20"/>
          <w:szCs w:val="20"/>
        </w:rPr>
        <w:t xml:space="preserve">Este artigo apresenta o conceito de “pena de morte social” para desmontar a função ressocializadora do sistema prisional brasileiro, majoritariamente composto por corpos negros e subalternizados. Fundamenta-se na metodologia de revisão bibliográfica crítica, articulando as contribuições de Foucault, Clóvis Moura e Aníbal </w:t>
      </w:r>
      <w:proofErr w:type="spellStart"/>
      <w:r w:rsidRPr="00886642">
        <w:rPr>
          <w:sz w:val="20"/>
          <w:szCs w:val="20"/>
        </w:rPr>
        <w:t>Quijano</w:t>
      </w:r>
      <w:proofErr w:type="spellEnd"/>
      <w:r w:rsidRPr="00886642">
        <w:rPr>
          <w:sz w:val="20"/>
          <w:szCs w:val="20"/>
        </w:rPr>
        <w:t xml:space="preserve"> com a análise de dados secundários sobre o sistema penal. A análise demonstra a continuidade histórica da opressão, da figura do 'escravo' à do 'preso', e desmistifica a prisão como instituição ressocializadora, revelando sua real função de gerenciar a delinquência. Conclui-se que a “pena de morte social” não é um efeito colateral do sistema, mas um projeto político que perpetua a hierarquia racial e a lógica colonial. </w:t>
      </w:r>
    </w:p>
    <w:p w14:paraId="12D5E9C9" w14:textId="337356E6" w:rsidR="004F776F" w:rsidRPr="0027594F" w:rsidRDefault="004F776F" w:rsidP="004F776F">
      <w:pPr>
        <w:spacing w:line="240" w:lineRule="auto"/>
        <w:ind w:left="2835"/>
        <w:jc w:val="both"/>
        <w:rPr>
          <w:sz w:val="20"/>
          <w:szCs w:val="20"/>
          <w:lang w:val="en-US"/>
        </w:rPr>
      </w:pPr>
      <w:r>
        <w:rPr>
          <w:b/>
          <w:sz w:val="20"/>
          <w:szCs w:val="20"/>
        </w:rPr>
        <w:t>Palavras-chave</w:t>
      </w:r>
      <w:r>
        <w:rPr>
          <w:sz w:val="20"/>
          <w:szCs w:val="20"/>
        </w:rPr>
        <w:t xml:space="preserve">: </w:t>
      </w:r>
      <w:r w:rsidR="007F1AB5">
        <w:rPr>
          <w:sz w:val="20"/>
          <w:szCs w:val="20"/>
        </w:rPr>
        <w:t>Pena de morte Social</w:t>
      </w:r>
      <w:r>
        <w:rPr>
          <w:sz w:val="20"/>
          <w:szCs w:val="20"/>
        </w:rPr>
        <w:t xml:space="preserve">; </w:t>
      </w:r>
      <w:r w:rsidR="00105BC2">
        <w:rPr>
          <w:sz w:val="20"/>
          <w:szCs w:val="20"/>
        </w:rPr>
        <w:t>Sistema P</w:t>
      </w:r>
      <w:r w:rsidR="00167563">
        <w:rPr>
          <w:sz w:val="20"/>
          <w:szCs w:val="20"/>
        </w:rPr>
        <w:t>risional</w:t>
      </w:r>
      <w:r w:rsidR="00105BC2">
        <w:rPr>
          <w:sz w:val="20"/>
          <w:szCs w:val="20"/>
        </w:rPr>
        <w:t xml:space="preserve">; </w:t>
      </w:r>
      <w:r w:rsidR="00E01304">
        <w:rPr>
          <w:sz w:val="20"/>
          <w:szCs w:val="20"/>
        </w:rPr>
        <w:t>Racismo Estrutural</w:t>
      </w:r>
      <w:r w:rsidR="000E0097">
        <w:rPr>
          <w:sz w:val="20"/>
          <w:szCs w:val="20"/>
        </w:rPr>
        <w:t xml:space="preserve">. </w:t>
      </w:r>
    </w:p>
    <w:p w14:paraId="33766D02" w14:textId="77777777" w:rsidR="004F776F" w:rsidRPr="00324ED8" w:rsidRDefault="004F776F" w:rsidP="000E0097">
      <w:pPr>
        <w:spacing w:line="240" w:lineRule="auto"/>
        <w:jc w:val="both"/>
        <w:rPr>
          <w:sz w:val="20"/>
          <w:szCs w:val="20"/>
          <w:lang w:val="en-US"/>
        </w:rPr>
      </w:pPr>
    </w:p>
    <w:p w14:paraId="6140A6EA" w14:textId="77777777" w:rsidR="004F776F" w:rsidRPr="005E3576" w:rsidRDefault="004F776F" w:rsidP="004F776F">
      <w:pPr>
        <w:spacing w:line="240" w:lineRule="auto"/>
        <w:ind w:left="2835"/>
        <w:jc w:val="both"/>
        <w:rPr>
          <w:b/>
          <w:sz w:val="20"/>
          <w:szCs w:val="20"/>
          <w:lang w:val="en-US"/>
        </w:rPr>
      </w:pPr>
      <w:r w:rsidRPr="005E3576">
        <w:rPr>
          <w:b/>
          <w:sz w:val="20"/>
          <w:szCs w:val="20"/>
          <w:lang w:val="en-US"/>
        </w:rPr>
        <w:t>Abstract</w:t>
      </w:r>
    </w:p>
    <w:p w14:paraId="5319DCA8" w14:textId="77777777" w:rsidR="009046EC" w:rsidRDefault="009046EC" w:rsidP="004F776F">
      <w:pPr>
        <w:spacing w:line="240" w:lineRule="auto"/>
        <w:ind w:left="2835"/>
        <w:jc w:val="both"/>
        <w:rPr>
          <w:sz w:val="20"/>
          <w:szCs w:val="20"/>
        </w:rPr>
      </w:pPr>
      <w:proofErr w:type="spellStart"/>
      <w:r w:rsidRPr="009046EC">
        <w:rPr>
          <w:sz w:val="20"/>
          <w:szCs w:val="20"/>
        </w:rPr>
        <w:t>This</w:t>
      </w:r>
      <w:proofErr w:type="spellEnd"/>
      <w:r w:rsidRPr="009046EC">
        <w:rPr>
          <w:sz w:val="20"/>
          <w:szCs w:val="20"/>
        </w:rPr>
        <w:t xml:space="preserve"> </w:t>
      </w:r>
      <w:proofErr w:type="spellStart"/>
      <w:r w:rsidRPr="009046EC">
        <w:rPr>
          <w:sz w:val="20"/>
          <w:szCs w:val="20"/>
        </w:rPr>
        <w:t>article</w:t>
      </w:r>
      <w:proofErr w:type="spellEnd"/>
      <w:r w:rsidRPr="009046EC">
        <w:rPr>
          <w:sz w:val="20"/>
          <w:szCs w:val="20"/>
        </w:rPr>
        <w:t xml:space="preserve"> </w:t>
      </w:r>
      <w:proofErr w:type="spellStart"/>
      <w:r w:rsidRPr="009046EC">
        <w:rPr>
          <w:sz w:val="20"/>
          <w:szCs w:val="20"/>
        </w:rPr>
        <w:t>proposes</w:t>
      </w:r>
      <w:proofErr w:type="spellEnd"/>
      <w:r w:rsidRPr="009046EC">
        <w:rPr>
          <w:sz w:val="20"/>
          <w:szCs w:val="20"/>
        </w:rPr>
        <w:t xml:space="preserve"> </w:t>
      </w:r>
      <w:proofErr w:type="spellStart"/>
      <w:r w:rsidRPr="009046EC">
        <w:rPr>
          <w:sz w:val="20"/>
          <w:szCs w:val="20"/>
        </w:rPr>
        <w:t>the</w:t>
      </w:r>
      <w:proofErr w:type="spellEnd"/>
      <w:r w:rsidRPr="009046EC">
        <w:rPr>
          <w:sz w:val="20"/>
          <w:szCs w:val="20"/>
        </w:rPr>
        <w:t xml:space="preserve"> </w:t>
      </w:r>
      <w:proofErr w:type="spellStart"/>
      <w:r w:rsidRPr="009046EC">
        <w:rPr>
          <w:sz w:val="20"/>
          <w:szCs w:val="20"/>
        </w:rPr>
        <w:t>concept</w:t>
      </w:r>
      <w:proofErr w:type="spellEnd"/>
      <w:r w:rsidRPr="009046EC">
        <w:rPr>
          <w:sz w:val="20"/>
          <w:szCs w:val="20"/>
        </w:rPr>
        <w:t xml:space="preserve"> </w:t>
      </w:r>
      <w:proofErr w:type="spellStart"/>
      <w:r w:rsidRPr="009046EC">
        <w:rPr>
          <w:sz w:val="20"/>
          <w:szCs w:val="20"/>
        </w:rPr>
        <w:t>of</w:t>
      </w:r>
      <w:proofErr w:type="spellEnd"/>
      <w:r w:rsidRPr="009046EC">
        <w:rPr>
          <w:sz w:val="20"/>
          <w:szCs w:val="20"/>
        </w:rPr>
        <w:t xml:space="preserve"> </w:t>
      </w:r>
      <w:proofErr w:type="spellStart"/>
      <w:r w:rsidRPr="009046EC">
        <w:rPr>
          <w:sz w:val="20"/>
          <w:szCs w:val="20"/>
        </w:rPr>
        <w:t>the</w:t>
      </w:r>
      <w:proofErr w:type="spellEnd"/>
      <w:r w:rsidRPr="009046EC">
        <w:rPr>
          <w:sz w:val="20"/>
          <w:szCs w:val="20"/>
        </w:rPr>
        <w:t xml:space="preserve"> "social death </w:t>
      </w:r>
      <w:proofErr w:type="spellStart"/>
      <w:r w:rsidRPr="009046EC">
        <w:rPr>
          <w:sz w:val="20"/>
          <w:szCs w:val="20"/>
        </w:rPr>
        <w:t>penalty</w:t>
      </w:r>
      <w:proofErr w:type="spellEnd"/>
      <w:r w:rsidRPr="009046EC">
        <w:rPr>
          <w:sz w:val="20"/>
          <w:szCs w:val="20"/>
        </w:rPr>
        <w:t xml:space="preserve">" </w:t>
      </w:r>
      <w:proofErr w:type="spellStart"/>
      <w:r w:rsidRPr="009046EC">
        <w:rPr>
          <w:sz w:val="20"/>
          <w:szCs w:val="20"/>
        </w:rPr>
        <w:t>to</w:t>
      </w:r>
      <w:proofErr w:type="spellEnd"/>
      <w:r w:rsidRPr="009046EC">
        <w:rPr>
          <w:sz w:val="20"/>
          <w:szCs w:val="20"/>
        </w:rPr>
        <w:t xml:space="preserve"> </w:t>
      </w:r>
      <w:proofErr w:type="spellStart"/>
      <w:r w:rsidRPr="009046EC">
        <w:rPr>
          <w:sz w:val="20"/>
          <w:szCs w:val="20"/>
        </w:rPr>
        <w:t>deconstruct</w:t>
      </w:r>
      <w:proofErr w:type="spellEnd"/>
      <w:r w:rsidRPr="009046EC">
        <w:rPr>
          <w:sz w:val="20"/>
          <w:szCs w:val="20"/>
        </w:rPr>
        <w:t xml:space="preserve"> </w:t>
      </w:r>
      <w:proofErr w:type="spellStart"/>
      <w:r w:rsidRPr="009046EC">
        <w:rPr>
          <w:sz w:val="20"/>
          <w:szCs w:val="20"/>
        </w:rPr>
        <w:t>the</w:t>
      </w:r>
      <w:proofErr w:type="spellEnd"/>
      <w:r w:rsidRPr="009046EC">
        <w:rPr>
          <w:sz w:val="20"/>
          <w:szCs w:val="20"/>
        </w:rPr>
        <w:t xml:space="preserve"> </w:t>
      </w:r>
      <w:proofErr w:type="spellStart"/>
      <w:r w:rsidRPr="009046EC">
        <w:rPr>
          <w:sz w:val="20"/>
          <w:szCs w:val="20"/>
        </w:rPr>
        <w:t>resocializing</w:t>
      </w:r>
      <w:proofErr w:type="spellEnd"/>
      <w:r w:rsidRPr="009046EC">
        <w:rPr>
          <w:sz w:val="20"/>
          <w:szCs w:val="20"/>
        </w:rPr>
        <w:t xml:space="preserve"> </w:t>
      </w:r>
      <w:proofErr w:type="spellStart"/>
      <w:r w:rsidRPr="009046EC">
        <w:rPr>
          <w:sz w:val="20"/>
          <w:szCs w:val="20"/>
        </w:rPr>
        <w:t>function</w:t>
      </w:r>
      <w:proofErr w:type="spellEnd"/>
      <w:r w:rsidRPr="009046EC">
        <w:rPr>
          <w:sz w:val="20"/>
          <w:szCs w:val="20"/>
        </w:rPr>
        <w:t xml:space="preserve"> </w:t>
      </w:r>
      <w:proofErr w:type="spellStart"/>
      <w:r w:rsidRPr="009046EC">
        <w:rPr>
          <w:sz w:val="20"/>
          <w:szCs w:val="20"/>
        </w:rPr>
        <w:t>of</w:t>
      </w:r>
      <w:proofErr w:type="spellEnd"/>
      <w:r w:rsidRPr="009046EC">
        <w:rPr>
          <w:sz w:val="20"/>
          <w:szCs w:val="20"/>
        </w:rPr>
        <w:t xml:space="preserve"> </w:t>
      </w:r>
      <w:proofErr w:type="spellStart"/>
      <w:r w:rsidRPr="009046EC">
        <w:rPr>
          <w:sz w:val="20"/>
          <w:szCs w:val="20"/>
        </w:rPr>
        <w:t>the</w:t>
      </w:r>
      <w:proofErr w:type="spellEnd"/>
      <w:r w:rsidRPr="009046EC">
        <w:rPr>
          <w:sz w:val="20"/>
          <w:szCs w:val="20"/>
        </w:rPr>
        <w:t xml:space="preserve"> </w:t>
      </w:r>
      <w:proofErr w:type="spellStart"/>
      <w:r w:rsidRPr="009046EC">
        <w:rPr>
          <w:sz w:val="20"/>
          <w:szCs w:val="20"/>
        </w:rPr>
        <w:t>Brazilian</w:t>
      </w:r>
      <w:proofErr w:type="spellEnd"/>
      <w:r w:rsidRPr="009046EC">
        <w:rPr>
          <w:sz w:val="20"/>
          <w:szCs w:val="20"/>
        </w:rPr>
        <w:t xml:space="preserve"> </w:t>
      </w:r>
      <w:proofErr w:type="spellStart"/>
      <w:r w:rsidRPr="009046EC">
        <w:rPr>
          <w:sz w:val="20"/>
          <w:szCs w:val="20"/>
        </w:rPr>
        <w:t>prison</w:t>
      </w:r>
      <w:proofErr w:type="spellEnd"/>
      <w:r w:rsidRPr="009046EC">
        <w:rPr>
          <w:sz w:val="20"/>
          <w:szCs w:val="20"/>
        </w:rPr>
        <w:t xml:space="preserve"> system, a system </w:t>
      </w:r>
      <w:proofErr w:type="spellStart"/>
      <w:r w:rsidRPr="009046EC">
        <w:rPr>
          <w:sz w:val="20"/>
          <w:szCs w:val="20"/>
        </w:rPr>
        <w:t>that</w:t>
      </w:r>
      <w:proofErr w:type="spellEnd"/>
      <w:r w:rsidRPr="009046EC">
        <w:rPr>
          <w:sz w:val="20"/>
          <w:szCs w:val="20"/>
        </w:rPr>
        <w:t xml:space="preserve"> </w:t>
      </w:r>
      <w:proofErr w:type="spellStart"/>
      <w:r w:rsidRPr="009046EC">
        <w:rPr>
          <w:sz w:val="20"/>
          <w:szCs w:val="20"/>
        </w:rPr>
        <w:t>overwhelmingly</w:t>
      </w:r>
      <w:proofErr w:type="spellEnd"/>
      <w:r w:rsidRPr="009046EC">
        <w:rPr>
          <w:sz w:val="20"/>
          <w:szCs w:val="20"/>
        </w:rPr>
        <w:t xml:space="preserve"> targets Black </w:t>
      </w:r>
      <w:proofErr w:type="spellStart"/>
      <w:r w:rsidRPr="009046EC">
        <w:rPr>
          <w:sz w:val="20"/>
          <w:szCs w:val="20"/>
        </w:rPr>
        <w:t>and</w:t>
      </w:r>
      <w:proofErr w:type="spellEnd"/>
      <w:r w:rsidRPr="009046EC">
        <w:rPr>
          <w:sz w:val="20"/>
          <w:szCs w:val="20"/>
        </w:rPr>
        <w:t xml:space="preserve"> </w:t>
      </w:r>
      <w:proofErr w:type="spellStart"/>
      <w:r w:rsidRPr="009046EC">
        <w:rPr>
          <w:sz w:val="20"/>
          <w:szCs w:val="20"/>
        </w:rPr>
        <w:t>subaltern</w:t>
      </w:r>
      <w:proofErr w:type="spellEnd"/>
      <w:r w:rsidRPr="009046EC">
        <w:rPr>
          <w:sz w:val="20"/>
          <w:szCs w:val="20"/>
        </w:rPr>
        <w:t xml:space="preserve"> </w:t>
      </w:r>
      <w:proofErr w:type="spellStart"/>
      <w:r w:rsidRPr="009046EC">
        <w:rPr>
          <w:sz w:val="20"/>
          <w:szCs w:val="20"/>
        </w:rPr>
        <w:t>bodies</w:t>
      </w:r>
      <w:proofErr w:type="spellEnd"/>
      <w:r w:rsidRPr="009046EC">
        <w:rPr>
          <w:sz w:val="20"/>
          <w:szCs w:val="20"/>
        </w:rPr>
        <w:t xml:space="preserve">. </w:t>
      </w:r>
      <w:proofErr w:type="spellStart"/>
      <w:r w:rsidRPr="009046EC">
        <w:rPr>
          <w:sz w:val="20"/>
          <w:szCs w:val="20"/>
        </w:rPr>
        <w:t>Based</w:t>
      </w:r>
      <w:proofErr w:type="spellEnd"/>
      <w:r w:rsidRPr="009046EC">
        <w:rPr>
          <w:sz w:val="20"/>
          <w:szCs w:val="20"/>
        </w:rPr>
        <w:t xml:space="preserve"> </w:t>
      </w:r>
      <w:proofErr w:type="spellStart"/>
      <w:r w:rsidRPr="009046EC">
        <w:rPr>
          <w:sz w:val="20"/>
          <w:szCs w:val="20"/>
        </w:rPr>
        <w:t>on</w:t>
      </w:r>
      <w:proofErr w:type="spellEnd"/>
      <w:r w:rsidRPr="009046EC">
        <w:rPr>
          <w:sz w:val="20"/>
          <w:szCs w:val="20"/>
        </w:rPr>
        <w:t xml:space="preserve"> a </w:t>
      </w:r>
      <w:proofErr w:type="spellStart"/>
      <w:r w:rsidRPr="009046EC">
        <w:rPr>
          <w:sz w:val="20"/>
          <w:szCs w:val="20"/>
        </w:rPr>
        <w:t>critical</w:t>
      </w:r>
      <w:proofErr w:type="spellEnd"/>
      <w:r w:rsidRPr="009046EC">
        <w:rPr>
          <w:sz w:val="20"/>
          <w:szCs w:val="20"/>
        </w:rPr>
        <w:t xml:space="preserve"> </w:t>
      </w:r>
      <w:proofErr w:type="spellStart"/>
      <w:r w:rsidRPr="009046EC">
        <w:rPr>
          <w:sz w:val="20"/>
          <w:szCs w:val="20"/>
        </w:rPr>
        <w:t>literature</w:t>
      </w:r>
      <w:proofErr w:type="spellEnd"/>
      <w:r w:rsidRPr="009046EC">
        <w:rPr>
          <w:sz w:val="20"/>
          <w:szCs w:val="20"/>
        </w:rPr>
        <w:t xml:space="preserve"> review, </w:t>
      </w:r>
      <w:proofErr w:type="spellStart"/>
      <w:r w:rsidRPr="009046EC">
        <w:rPr>
          <w:sz w:val="20"/>
          <w:szCs w:val="20"/>
        </w:rPr>
        <w:t>the</w:t>
      </w:r>
      <w:proofErr w:type="spellEnd"/>
      <w:r w:rsidRPr="009046EC">
        <w:rPr>
          <w:sz w:val="20"/>
          <w:szCs w:val="20"/>
        </w:rPr>
        <w:t xml:space="preserve"> </w:t>
      </w:r>
      <w:proofErr w:type="spellStart"/>
      <w:r w:rsidRPr="009046EC">
        <w:rPr>
          <w:sz w:val="20"/>
          <w:szCs w:val="20"/>
        </w:rPr>
        <w:t>methodology</w:t>
      </w:r>
      <w:proofErr w:type="spellEnd"/>
      <w:r w:rsidRPr="009046EC">
        <w:rPr>
          <w:sz w:val="20"/>
          <w:szCs w:val="20"/>
        </w:rPr>
        <w:t xml:space="preserve"> </w:t>
      </w:r>
      <w:proofErr w:type="spellStart"/>
      <w:r w:rsidRPr="009046EC">
        <w:rPr>
          <w:sz w:val="20"/>
          <w:szCs w:val="20"/>
        </w:rPr>
        <w:t>articulates</w:t>
      </w:r>
      <w:proofErr w:type="spellEnd"/>
      <w:r w:rsidRPr="009046EC">
        <w:rPr>
          <w:sz w:val="20"/>
          <w:szCs w:val="20"/>
        </w:rPr>
        <w:t xml:space="preserve"> </w:t>
      </w:r>
      <w:proofErr w:type="spellStart"/>
      <w:r w:rsidRPr="009046EC">
        <w:rPr>
          <w:sz w:val="20"/>
          <w:szCs w:val="20"/>
        </w:rPr>
        <w:t>the</w:t>
      </w:r>
      <w:proofErr w:type="spellEnd"/>
      <w:r w:rsidRPr="009046EC">
        <w:rPr>
          <w:sz w:val="20"/>
          <w:szCs w:val="20"/>
        </w:rPr>
        <w:t xml:space="preserve"> </w:t>
      </w:r>
      <w:proofErr w:type="spellStart"/>
      <w:r w:rsidRPr="009046EC">
        <w:rPr>
          <w:sz w:val="20"/>
          <w:szCs w:val="20"/>
        </w:rPr>
        <w:t>contributions</w:t>
      </w:r>
      <w:proofErr w:type="spellEnd"/>
      <w:r w:rsidRPr="009046EC">
        <w:rPr>
          <w:sz w:val="20"/>
          <w:szCs w:val="20"/>
        </w:rPr>
        <w:t xml:space="preserve"> </w:t>
      </w:r>
      <w:proofErr w:type="spellStart"/>
      <w:r w:rsidRPr="009046EC">
        <w:rPr>
          <w:sz w:val="20"/>
          <w:szCs w:val="20"/>
        </w:rPr>
        <w:t>of</w:t>
      </w:r>
      <w:proofErr w:type="spellEnd"/>
      <w:r w:rsidRPr="009046EC">
        <w:rPr>
          <w:sz w:val="20"/>
          <w:szCs w:val="20"/>
        </w:rPr>
        <w:t xml:space="preserve"> Foucault, Clóvis Moura, </w:t>
      </w:r>
      <w:proofErr w:type="spellStart"/>
      <w:r w:rsidRPr="009046EC">
        <w:rPr>
          <w:sz w:val="20"/>
          <w:szCs w:val="20"/>
        </w:rPr>
        <w:t>and</w:t>
      </w:r>
      <w:proofErr w:type="spellEnd"/>
      <w:r w:rsidRPr="009046EC">
        <w:rPr>
          <w:sz w:val="20"/>
          <w:szCs w:val="20"/>
        </w:rPr>
        <w:t xml:space="preserve"> Aníbal </w:t>
      </w:r>
      <w:proofErr w:type="spellStart"/>
      <w:r w:rsidRPr="009046EC">
        <w:rPr>
          <w:sz w:val="20"/>
          <w:szCs w:val="20"/>
        </w:rPr>
        <w:t>Quijano</w:t>
      </w:r>
      <w:proofErr w:type="spellEnd"/>
      <w:r w:rsidRPr="009046EC">
        <w:rPr>
          <w:sz w:val="20"/>
          <w:szCs w:val="20"/>
        </w:rPr>
        <w:t xml:space="preserve"> </w:t>
      </w:r>
      <w:proofErr w:type="spellStart"/>
      <w:r w:rsidRPr="009046EC">
        <w:rPr>
          <w:sz w:val="20"/>
          <w:szCs w:val="20"/>
        </w:rPr>
        <w:t>with</w:t>
      </w:r>
      <w:proofErr w:type="spellEnd"/>
      <w:r w:rsidRPr="009046EC">
        <w:rPr>
          <w:sz w:val="20"/>
          <w:szCs w:val="20"/>
        </w:rPr>
        <w:t xml:space="preserve"> </w:t>
      </w:r>
      <w:proofErr w:type="spellStart"/>
      <w:r w:rsidRPr="009046EC">
        <w:rPr>
          <w:sz w:val="20"/>
          <w:szCs w:val="20"/>
        </w:rPr>
        <w:t>an</w:t>
      </w:r>
      <w:proofErr w:type="spellEnd"/>
      <w:r w:rsidRPr="009046EC">
        <w:rPr>
          <w:sz w:val="20"/>
          <w:szCs w:val="20"/>
        </w:rPr>
        <w:t xml:space="preserve"> </w:t>
      </w:r>
      <w:proofErr w:type="spellStart"/>
      <w:r w:rsidRPr="009046EC">
        <w:rPr>
          <w:sz w:val="20"/>
          <w:szCs w:val="20"/>
        </w:rPr>
        <w:t>analysis</w:t>
      </w:r>
      <w:proofErr w:type="spellEnd"/>
      <w:r w:rsidRPr="009046EC">
        <w:rPr>
          <w:sz w:val="20"/>
          <w:szCs w:val="20"/>
        </w:rPr>
        <w:t xml:space="preserve"> </w:t>
      </w:r>
      <w:proofErr w:type="spellStart"/>
      <w:r w:rsidRPr="009046EC">
        <w:rPr>
          <w:sz w:val="20"/>
          <w:szCs w:val="20"/>
        </w:rPr>
        <w:t>of</w:t>
      </w:r>
      <w:proofErr w:type="spellEnd"/>
      <w:r w:rsidRPr="009046EC">
        <w:rPr>
          <w:sz w:val="20"/>
          <w:szCs w:val="20"/>
        </w:rPr>
        <w:t xml:space="preserve"> </w:t>
      </w:r>
      <w:proofErr w:type="spellStart"/>
      <w:r w:rsidRPr="009046EC">
        <w:rPr>
          <w:sz w:val="20"/>
          <w:szCs w:val="20"/>
        </w:rPr>
        <w:t>secondary</w:t>
      </w:r>
      <w:proofErr w:type="spellEnd"/>
      <w:r w:rsidRPr="009046EC">
        <w:rPr>
          <w:sz w:val="20"/>
          <w:szCs w:val="20"/>
        </w:rPr>
        <w:t xml:space="preserve"> data </w:t>
      </w:r>
      <w:proofErr w:type="spellStart"/>
      <w:r w:rsidRPr="009046EC">
        <w:rPr>
          <w:sz w:val="20"/>
          <w:szCs w:val="20"/>
        </w:rPr>
        <w:t>on</w:t>
      </w:r>
      <w:proofErr w:type="spellEnd"/>
      <w:r w:rsidRPr="009046EC">
        <w:rPr>
          <w:sz w:val="20"/>
          <w:szCs w:val="20"/>
        </w:rPr>
        <w:t xml:space="preserve"> </w:t>
      </w:r>
      <w:proofErr w:type="spellStart"/>
      <w:r w:rsidRPr="009046EC">
        <w:rPr>
          <w:sz w:val="20"/>
          <w:szCs w:val="20"/>
        </w:rPr>
        <w:t>the</w:t>
      </w:r>
      <w:proofErr w:type="spellEnd"/>
      <w:r w:rsidRPr="009046EC">
        <w:rPr>
          <w:sz w:val="20"/>
          <w:szCs w:val="20"/>
        </w:rPr>
        <w:t xml:space="preserve"> penal system. The </w:t>
      </w:r>
      <w:proofErr w:type="spellStart"/>
      <w:r w:rsidRPr="009046EC">
        <w:rPr>
          <w:sz w:val="20"/>
          <w:szCs w:val="20"/>
        </w:rPr>
        <w:t>analysis</w:t>
      </w:r>
      <w:proofErr w:type="spellEnd"/>
      <w:r w:rsidRPr="009046EC">
        <w:rPr>
          <w:sz w:val="20"/>
          <w:szCs w:val="20"/>
        </w:rPr>
        <w:t xml:space="preserve"> </w:t>
      </w:r>
      <w:proofErr w:type="spellStart"/>
      <w:r w:rsidRPr="009046EC">
        <w:rPr>
          <w:sz w:val="20"/>
          <w:szCs w:val="20"/>
        </w:rPr>
        <w:t>demonstrates</w:t>
      </w:r>
      <w:proofErr w:type="spellEnd"/>
      <w:r w:rsidRPr="009046EC">
        <w:rPr>
          <w:sz w:val="20"/>
          <w:szCs w:val="20"/>
        </w:rPr>
        <w:t xml:space="preserve"> </w:t>
      </w:r>
      <w:proofErr w:type="spellStart"/>
      <w:r w:rsidRPr="009046EC">
        <w:rPr>
          <w:sz w:val="20"/>
          <w:szCs w:val="20"/>
        </w:rPr>
        <w:t>the</w:t>
      </w:r>
      <w:proofErr w:type="spellEnd"/>
      <w:r w:rsidRPr="009046EC">
        <w:rPr>
          <w:sz w:val="20"/>
          <w:szCs w:val="20"/>
        </w:rPr>
        <w:t xml:space="preserve"> </w:t>
      </w:r>
      <w:proofErr w:type="spellStart"/>
      <w:r w:rsidRPr="009046EC">
        <w:rPr>
          <w:sz w:val="20"/>
          <w:szCs w:val="20"/>
        </w:rPr>
        <w:t>historical</w:t>
      </w:r>
      <w:proofErr w:type="spellEnd"/>
      <w:r w:rsidRPr="009046EC">
        <w:rPr>
          <w:sz w:val="20"/>
          <w:szCs w:val="20"/>
        </w:rPr>
        <w:t xml:space="preserve"> </w:t>
      </w:r>
      <w:proofErr w:type="spellStart"/>
      <w:r w:rsidRPr="009046EC">
        <w:rPr>
          <w:sz w:val="20"/>
          <w:szCs w:val="20"/>
        </w:rPr>
        <w:t>continuity</w:t>
      </w:r>
      <w:proofErr w:type="spellEnd"/>
      <w:r w:rsidRPr="009046EC">
        <w:rPr>
          <w:sz w:val="20"/>
          <w:szCs w:val="20"/>
        </w:rPr>
        <w:t xml:space="preserve"> </w:t>
      </w:r>
      <w:proofErr w:type="spellStart"/>
      <w:r w:rsidRPr="009046EC">
        <w:rPr>
          <w:sz w:val="20"/>
          <w:szCs w:val="20"/>
        </w:rPr>
        <w:t>of</w:t>
      </w:r>
      <w:proofErr w:type="spellEnd"/>
      <w:r w:rsidRPr="009046EC">
        <w:rPr>
          <w:sz w:val="20"/>
          <w:szCs w:val="20"/>
        </w:rPr>
        <w:t xml:space="preserve"> </w:t>
      </w:r>
      <w:proofErr w:type="spellStart"/>
      <w:r w:rsidRPr="009046EC">
        <w:rPr>
          <w:sz w:val="20"/>
          <w:szCs w:val="20"/>
        </w:rPr>
        <w:t>oppression</w:t>
      </w:r>
      <w:proofErr w:type="spellEnd"/>
      <w:r w:rsidRPr="009046EC">
        <w:rPr>
          <w:sz w:val="20"/>
          <w:szCs w:val="20"/>
        </w:rPr>
        <w:t xml:space="preserve">, </w:t>
      </w:r>
      <w:proofErr w:type="spellStart"/>
      <w:r w:rsidRPr="009046EC">
        <w:rPr>
          <w:sz w:val="20"/>
          <w:szCs w:val="20"/>
        </w:rPr>
        <w:t>from</w:t>
      </w:r>
      <w:proofErr w:type="spellEnd"/>
      <w:r w:rsidRPr="009046EC">
        <w:rPr>
          <w:sz w:val="20"/>
          <w:szCs w:val="20"/>
        </w:rPr>
        <w:t xml:space="preserve"> </w:t>
      </w:r>
      <w:proofErr w:type="spellStart"/>
      <w:r w:rsidRPr="009046EC">
        <w:rPr>
          <w:sz w:val="20"/>
          <w:szCs w:val="20"/>
        </w:rPr>
        <w:t>the</w:t>
      </w:r>
      <w:proofErr w:type="spellEnd"/>
      <w:r w:rsidRPr="009046EC">
        <w:rPr>
          <w:sz w:val="20"/>
          <w:szCs w:val="20"/>
        </w:rPr>
        <w:t xml:space="preserve"> figure </w:t>
      </w:r>
      <w:proofErr w:type="spellStart"/>
      <w:r w:rsidRPr="009046EC">
        <w:rPr>
          <w:sz w:val="20"/>
          <w:szCs w:val="20"/>
        </w:rPr>
        <w:t>of</w:t>
      </w:r>
      <w:proofErr w:type="spellEnd"/>
      <w:r w:rsidRPr="009046EC">
        <w:rPr>
          <w:sz w:val="20"/>
          <w:szCs w:val="20"/>
        </w:rPr>
        <w:t xml:space="preserve"> </w:t>
      </w:r>
      <w:proofErr w:type="spellStart"/>
      <w:r w:rsidRPr="009046EC">
        <w:rPr>
          <w:sz w:val="20"/>
          <w:szCs w:val="20"/>
        </w:rPr>
        <w:t>the</w:t>
      </w:r>
      <w:proofErr w:type="spellEnd"/>
      <w:r w:rsidRPr="009046EC">
        <w:rPr>
          <w:sz w:val="20"/>
          <w:szCs w:val="20"/>
        </w:rPr>
        <w:t xml:space="preserve"> '</w:t>
      </w:r>
      <w:proofErr w:type="spellStart"/>
      <w:r w:rsidRPr="009046EC">
        <w:rPr>
          <w:sz w:val="20"/>
          <w:szCs w:val="20"/>
        </w:rPr>
        <w:t>slave</w:t>
      </w:r>
      <w:proofErr w:type="spellEnd"/>
      <w:r w:rsidRPr="009046EC">
        <w:rPr>
          <w:sz w:val="20"/>
          <w:szCs w:val="20"/>
        </w:rPr>
        <w:t xml:space="preserve">' </w:t>
      </w:r>
      <w:proofErr w:type="spellStart"/>
      <w:r w:rsidRPr="009046EC">
        <w:rPr>
          <w:sz w:val="20"/>
          <w:szCs w:val="20"/>
        </w:rPr>
        <w:t>to</w:t>
      </w:r>
      <w:proofErr w:type="spellEnd"/>
      <w:r w:rsidRPr="009046EC">
        <w:rPr>
          <w:sz w:val="20"/>
          <w:szCs w:val="20"/>
        </w:rPr>
        <w:t xml:space="preserve"> </w:t>
      </w:r>
      <w:proofErr w:type="spellStart"/>
      <w:r w:rsidRPr="009046EC">
        <w:rPr>
          <w:sz w:val="20"/>
          <w:szCs w:val="20"/>
        </w:rPr>
        <w:t>that</w:t>
      </w:r>
      <w:proofErr w:type="spellEnd"/>
      <w:r w:rsidRPr="009046EC">
        <w:rPr>
          <w:sz w:val="20"/>
          <w:szCs w:val="20"/>
        </w:rPr>
        <w:t xml:space="preserve"> </w:t>
      </w:r>
      <w:proofErr w:type="spellStart"/>
      <w:r w:rsidRPr="009046EC">
        <w:rPr>
          <w:sz w:val="20"/>
          <w:szCs w:val="20"/>
        </w:rPr>
        <w:t>of</w:t>
      </w:r>
      <w:proofErr w:type="spellEnd"/>
      <w:r w:rsidRPr="009046EC">
        <w:rPr>
          <w:sz w:val="20"/>
          <w:szCs w:val="20"/>
        </w:rPr>
        <w:t xml:space="preserve"> </w:t>
      </w:r>
      <w:proofErr w:type="spellStart"/>
      <w:r w:rsidRPr="009046EC">
        <w:rPr>
          <w:sz w:val="20"/>
          <w:szCs w:val="20"/>
        </w:rPr>
        <w:t>the</w:t>
      </w:r>
      <w:proofErr w:type="spellEnd"/>
      <w:r w:rsidRPr="009046EC">
        <w:rPr>
          <w:sz w:val="20"/>
          <w:szCs w:val="20"/>
        </w:rPr>
        <w:t xml:space="preserve"> '</w:t>
      </w:r>
      <w:proofErr w:type="spellStart"/>
      <w:r w:rsidRPr="009046EC">
        <w:rPr>
          <w:sz w:val="20"/>
          <w:szCs w:val="20"/>
        </w:rPr>
        <w:t>prisoner</w:t>
      </w:r>
      <w:proofErr w:type="spellEnd"/>
      <w:r w:rsidRPr="009046EC">
        <w:rPr>
          <w:sz w:val="20"/>
          <w:szCs w:val="20"/>
        </w:rPr>
        <w:t xml:space="preserve">', </w:t>
      </w:r>
      <w:proofErr w:type="spellStart"/>
      <w:r w:rsidRPr="009046EC">
        <w:rPr>
          <w:sz w:val="20"/>
          <w:szCs w:val="20"/>
        </w:rPr>
        <w:t>and</w:t>
      </w:r>
      <w:proofErr w:type="spellEnd"/>
      <w:r w:rsidRPr="009046EC">
        <w:rPr>
          <w:sz w:val="20"/>
          <w:szCs w:val="20"/>
        </w:rPr>
        <w:t xml:space="preserve"> </w:t>
      </w:r>
      <w:proofErr w:type="spellStart"/>
      <w:r w:rsidRPr="009046EC">
        <w:rPr>
          <w:sz w:val="20"/>
          <w:szCs w:val="20"/>
        </w:rPr>
        <w:t>demystifies</w:t>
      </w:r>
      <w:proofErr w:type="spellEnd"/>
      <w:r w:rsidRPr="009046EC">
        <w:rPr>
          <w:sz w:val="20"/>
          <w:szCs w:val="20"/>
        </w:rPr>
        <w:t xml:space="preserve"> </w:t>
      </w:r>
      <w:proofErr w:type="spellStart"/>
      <w:r w:rsidRPr="009046EC">
        <w:rPr>
          <w:sz w:val="20"/>
          <w:szCs w:val="20"/>
        </w:rPr>
        <w:t>the</w:t>
      </w:r>
      <w:proofErr w:type="spellEnd"/>
      <w:r w:rsidRPr="009046EC">
        <w:rPr>
          <w:sz w:val="20"/>
          <w:szCs w:val="20"/>
        </w:rPr>
        <w:t xml:space="preserve"> </w:t>
      </w:r>
      <w:proofErr w:type="spellStart"/>
      <w:r w:rsidRPr="009046EC">
        <w:rPr>
          <w:sz w:val="20"/>
          <w:szCs w:val="20"/>
        </w:rPr>
        <w:t>prison</w:t>
      </w:r>
      <w:proofErr w:type="spellEnd"/>
      <w:r w:rsidRPr="009046EC">
        <w:rPr>
          <w:sz w:val="20"/>
          <w:szCs w:val="20"/>
        </w:rPr>
        <w:t xml:space="preserve"> as a </w:t>
      </w:r>
      <w:proofErr w:type="spellStart"/>
      <w:r w:rsidRPr="009046EC">
        <w:rPr>
          <w:sz w:val="20"/>
          <w:szCs w:val="20"/>
        </w:rPr>
        <w:t>resocializing</w:t>
      </w:r>
      <w:proofErr w:type="spellEnd"/>
      <w:r w:rsidRPr="009046EC">
        <w:rPr>
          <w:sz w:val="20"/>
          <w:szCs w:val="20"/>
        </w:rPr>
        <w:t xml:space="preserve"> </w:t>
      </w:r>
      <w:proofErr w:type="spellStart"/>
      <w:r w:rsidRPr="009046EC">
        <w:rPr>
          <w:sz w:val="20"/>
          <w:szCs w:val="20"/>
        </w:rPr>
        <w:t>institution</w:t>
      </w:r>
      <w:proofErr w:type="spellEnd"/>
      <w:r w:rsidRPr="009046EC">
        <w:rPr>
          <w:sz w:val="20"/>
          <w:szCs w:val="20"/>
        </w:rPr>
        <w:t xml:space="preserve">, </w:t>
      </w:r>
      <w:proofErr w:type="spellStart"/>
      <w:r w:rsidRPr="009046EC">
        <w:rPr>
          <w:sz w:val="20"/>
          <w:szCs w:val="20"/>
        </w:rPr>
        <w:t>revealing</w:t>
      </w:r>
      <w:proofErr w:type="spellEnd"/>
      <w:r w:rsidRPr="009046EC">
        <w:rPr>
          <w:sz w:val="20"/>
          <w:szCs w:val="20"/>
        </w:rPr>
        <w:t xml:space="preserve"> its </w:t>
      </w:r>
      <w:proofErr w:type="spellStart"/>
      <w:r w:rsidRPr="009046EC">
        <w:rPr>
          <w:sz w:val="20"/>
          <w:szCs w:val="20"/>
        </w:rPr>
        <w:t>true</w:t>
      </w:r>
      <w:proofErr w:type="spellEnd"/>
      <w:r w:rsidRPr="009046EC">
        <w:rPr>
          <w:sz w:val="20"/>
          <w:szCs w:val="20"/>
        </w:rPr>
        <w:t xml:space="preserve"> </w:t>
      </w:r>
      <w:proofErr w:type="spellStart"/>
      <w:r w:rsidRPr="009046EC">
        <w:rPr>
          <w:sz w:val="20"/>
          <w:szCs w:val="20"/>
        </w:rPr>
        <w:t>function</w:t>
      </w:r>
      <w:proofErr w:type="spellEnd"/>
      <w:r w:rsidRPr="009046EC">
        <w:rPr>
          <w:sz w:val="20"/>
          <w:szCs w:val="20"/>
        </w:rPr>
        <w:t xml:space="preserve"> </w:t>
      </w:r>
      <w:proofErr w:type="spellStart"/>
      <w:r w:rsidRPr="009046EC">
        <w:rPr>
          <w:sz w:val="20"/>
          <w:szCs w:val="20"/>
        </w:rPr>
        <w:t>of</w:t>
      </w:r>
      <w:proofErr w:type="spellEnd"/>
      <w:r w:rsidRPr="009046EC">
        <w:rPr>
          <w:sz w:val="20"/>
          <w:szCs w:val="20"/>
        </w:rPr>
        <w:t xml:space="preserve"> </w:t>
      </w:r>
      <w:proofErr w:type="spellStart"/>
      <w:r w:rsidRPr="009046EC">
        <w:rPr>
          <w:sz w:val="20"/>
          <w:szCs w:val="20"/>
        </w:rPr>
        <w:t>managing</w:t>
      </w:r>
      <w:proofErr w:type="spellEnd"/>
      <w:r w:rsidRPr="009046EC">
        <w:rPr>
          <w:sz w:val="20"/>
          <w:szCs w:val="20"/>
        </w:rPr>
        <w:t xml:space="preserve"> </w:t>
      </w:r>
      <w:proofErr w:type="spellStart"/>
      <w:r w:rsidRPr="009046EC">
        <w:rPr>
          <w:sz w:val="20"/>
          <w:szCs w:val="20"/>
        </w:rPr>
        <w:t>delinquency</w:t>
      </w:r>
      <w:proofErr w:type="spellEnd"/>
      <w:r w:rsidRPr="009046EC">
        <w:rPr>
          <w:sz w:val="20"/>
          <w:szCs w:val="20"/>
        </w:rPr>
        <w:t xml:space="preserve">. The </w:t>
      </w:r>
      <w:proofErr w:type="spellStart"/>
      <w:r w:rsidRPr="009046EC">
        <w:rPr>
          <w:sz w:val="20"/>
          <w:szCs w:val="20"/>
        </w:rPr>
        <w:t>paper</w:t>
      </w:r>
      <w:proofErr w:type="spellEnd"/>
      <w:r w:rsidRPr="009046EC">
        <w:rPr>
          <w:sz w:val="20"/>
          <w:szCs w:val="20"/>
        </w:rPr>
        <w:t xml:space="preserve"> </w:t>
      </w:r>
      <w:proofErr w:type="spellStart"/>
      <w:r w:rsidRPr="009046EC">
        <w:rPr>
          <w:sz w:val="20"/>
          <w:szCs w:val="20"/>
        </w:rPr>
        <w:t>concludes</w:t>
      </w:r>
      <w:proofErr w:type="spellEnd"/>
      <w:r w:rsidRPr="009046EC">
        <w:rPr>
          <w:sz w:val="20"/>
          <w:szCs w:val="20"/>
        </w:rPr>
        <w:t xml:space="preserve"> </w:t>
      </w:r>
      <w:proofErr w:type="spellStart"/>
      <w:r w:rsidRPr="009046EC">
        <w:rPr>
          <w:sz w:val="20"/>
          <w:szCs w:val="20"/>
        </w:rPr>
        <w:t>that</w:t>
      </w:r>
      <w:proofErr w:type="spellEnd"/>
      <w:r w:rsidRPr="009046EC">
        <w:rPr>
          <w:sz w:val="20"/>
          <w:szCs w:val="20"/>
        </w:rPr>
        <w:t xml:space="preserve"> </w:t>
      </w:r>
      <w:proofErr w:type="spellStart"/>
      <w:r w:rsidRPr="009046EC">
        <w:rPr>
          <w:sz w:val="20"/>
          <w:szCs w:val="20"/>
        </w:rPr>
        <w:t>the</w:t>
      </w:r>
      <w:proofErr w:type="spellEnd"/>
      <w:r w:rsidRPr="009046EC">
        <w:rPr>
          <w:sz w:val="20"/>
          <w:szCs w:val="20"/>
        </w:rPr>
        <w:t xml:space="preserve"> "social death </w:t>
      </w:r>
      <w:proofErr w:type="spellStart"/>
      <w:r w:rsidRPr="009046EC">
        <w:rPr>
          <w:sz w:val="20"/>
          <w:szCs w:val="20"/>
        </w:rPr>
        <w:t>penalty</w:t>
      </w:r>
      <w:proofErr w:type="spellEnd"/>
      <w:r w:rsidRPr="009046EC">
        <w:rPr>
          <w:sz w:val="20"/>
          <w:szCs w:val="20"/>
        </w:rPr>
        <w:t xml:space="preserve">" </w:t>
      </w:r>
      <w:proofErr w:type="spellStart"/>
      <w:r w:rsidRPr="009046EC">
        <w:rPr>
          <w:sz w:val="20"/>
          <w:szCs w:val="20"/>
        </w:rPr>
        <w:t>is</w:t>
      </w:r>
      <w:proofErr w:type="spellEnd"/>
      <w:r w:rsidRPr="009046EC">
        <w:rPr>
          <w:sz w:val="20"/>
          <w:szCs w:val="20"/>
        </w:rPr>
        <w:t xml:space="preserve"> </w:t>
      </w:r>
      <w:proofErr w:type="spellStart"/>
      <w:r w:rsidRPr="009046EC">
        <w:rPr>
          <w:sz w:val="20"/>
          <w:szCs w:val="20"/>
        </w:rPr>
        <w:t>not</w:t>
      </w:r>
      <w:proofErr w:type="spellEnd"/>
      <w:r w:rsidRPr="009046EC">
        <w:rPr>
          <w:sz w:val="20"/>
          <w:szCs w:val="20"/>
        </w:rPr>
        <w:t xml:space="preserve"> a </w:t>
      </w:r>
      <w:proofErr w:type="spellStart"/>
      <w:r w:rsidRPr="009046EC">
        <w:rPr>
          <w:sz w:val="20"/>
          <w:szCs w:val="20"/>
        </w:rPr>
        <w:t>systemic</w:t>
      </w:r>
      <w:proofErr w:type="spellEnd"/>
      <w:r w:rsidRPr="009046EC">
        <w:rPr>
          <w:sz w:val="20"/>
          <w:szCs w:val="20"/>
        </w:rPr>
        <w:t xml:space="preserve"> </w:t>
      </w:r>
      <w:proofErr w:type="spellStart"/>
      <w:r w:rsidRPr="009046EC">
        <w:rPr>
          <w:sz w:val="20"/>
          <w:szCs w:val="20"/>
        </w:rPr>
        <w:t>side</w:t>
      </w:r>
      <w:proofErr w:type="spellEnd"/>
      <w:r w:rsidRPr="009046EC">
        <w:rPr>
          <w:sz w:val="20"/>
          <w:szCs w:val="20"/>
        </w:rPr>
        <w:t xml:space="preserve"> </w:t>
      </w:r>
      <w:proofErr w:type="spellStart"/>
      <w:r w:rsidRPr="009046EC">
        <w:rPr>
          <w:sz w:val="20"/>
          <w:szCs w:val="20"/>
        </w:rPr>
        <w:t>effect</w:t>
      </w:r>
      <w:proofErr w:type="spellEnd"/>
      <w:r w:rsidRPr="009046EC">
        <w:rPr>
          <w:sz w:val="20"/>
          <w:szCs w:val="20"/>
        </w:rPr>
        <w:t xml:space="preserve">, </w:t>
      </w:r>
      <w:proofErr w:type="spellStart"/>
      <w:r w:rsidRPr="009046EC">
        <w:rPr>
          <w:sz w:val="20"/>
          <w:szCs w:val="20"/>
        </w:rPr>
        <w:t>but</w:t>
      </w:r>
      <w:proofErr w:type="spellEnd"/>
      <w:r w:rsidRPr="009046EC">
        <w:rPr>
          <w:sz w:val="20"/>
          <w:szCs w:val="20"/>
        </w:rPr>
        <w:t xml:space="preserve"> </w:t>
      </w:r>
      <w:proofErr w:type="spellStart"/>
      <w:r w:rsidRPr="009046EC">
        <w:rPr>
          <w:sz w:val="20"/>
          <w:szCs w:val="20"/>
        </w:rPr>
        <w:t>rather</w:t>
      </w:r>
      <w:proofErr w:type="spellEnd"/>
      <w:r w:rsidRPr="009046EC">
        <w:rPr>
          <w:sz w:val="20"/>
          <w:szCs w:val="20"/>
        </w:rPr>
        <w:t xml:space="preserve"> a </w:t>
      </w:r>
      <w:proofErr w:type="spellStart"/>
      <w:r w:rsidRPr="009046EC">
        <w:rPr>
          <w:sz w:val="20"/>
          <w:szCs w:val="20"/>
        </w:rPr>
        <w:t>political</w:t>
      </w:r>
      <w:proofErr w:type="spellEnd"/>
      <w:r w:rsidRPr="009046EC">
        <w:rPr>
          <w:sz w:val="20"/>
          <w:szCs w:val="20"/>
        </w:rPr>
        <w:t xml:space="preserve"> </w:t>
      </w:r>
      <w:proofErr w:type="spellStart"/>
      <w:r w:rsidRPr="009046EC">
        <w:rPr>
          <w:sz w:val="20"/>
          <w:szCs w:val="20"/>
        </w:rPr>
        <w:t>project</w:t>
      </w:r>
      <w:proofErr w:type="spellEnd"/>
      <w:r w:rsidRPr="009046EC">
        <w:rPr>
          <w:sz w:val="20"/>
          <w:szCs w:val="20"/>
        </w:rPr>
        <w:t xml:space="preserve"> </w:t>
      </w:r>
      <w:proofErr w:type="spellStart"/>
      <w:r w:rsidRPr="009046EC">
        <w:rPr>
          <w:sz w:val="20"/>
          <w:szCs w:val="20"/>
        </w:rPr>
        <w:t>designed</w:t>
      </w:r>
      <w:proofErr w:type="spellEnd"/>
      <w:r w:rsidRPr="009046EC">
        <w:rPr>
          <w:sz w:val="20"/>
          <w:szCs w:val="20"/>
        </w:rPr>
        <w:t xml:space="preserve"> </w:t>
      </w:r>
      <w:proofErr w:type="spellStart"/>
      <w:r w:rsidRPr="009046EC">
        <w:rPr>
          <w:sz w:val="20"/>
          <w:szCs w:val="20"/>
        </w:rPr>
        <w:t>to</w:t>
      </w:r>
      <w:proofErr w:type="spellEnd"/>
      <w:r w:rsidRPr="009046EC">
        <w:rPr>
          <w:sz w:val="20"/>
          <w:szCs w:val="20"/>
        </w:rPr>
        <w:t xml:space="preserve"> </w:t>
      </w:r>
      <w:proofErr w:type="spellStart"/>
      <w:r w:rsidRPr="009046EC">
        <w:rPr>
          <w:sz w:val="20"/>
          <w:szCs w:val="20"/>
        </w:rPr>
        <w:t>perpetuate</w:t>
      </w:r>
      <w:proofErr w:type="spellEnd"/>
      <w:r w:rsidRPr="009046EC">
        <w:rPr>
          <w:sz w:val="20"/>
          <w:szCs w:val="20"/>
        </w:rPr>
        <w:t xml:space="preserve"> racial </w:t>
      </w:r>
      <w:proofErr w:type="spellStart"/>
      <w:r w:rsidRPr="009046EC">
        <w:rPr>
          <w:sz w:val="20"/>
          <w:szCs w:val="20"/>
        </w:rPr>
        <w:t>hierarchy</w:t>
      </w:r>
      <w:proofErr w:type="spellEnd"/>
      <w:r w:rsidRPr="009046EC">
        <w:rPr>
          <w:sz w:val="20"/>
          <w:szCs w:val="20"/>
        </w:rPr>
        <w:t xml:space="preserve"> </w:t>
      </w:r>
      <w:proofErr w:type="spellStart"/>
      <w:r w:rsidRPr="009046EC">
        <w:rPr>
          <w:sz w:val="20"/>
          <w:szCs w:val="20"/>
        </w:rPr>
        <w:t>and</w:t>
      </w:r>
      <w:proofErr w:type="spellEnd"/>
      <w:r w:rsidRPr="009046EC">
        <w:rPr>
          <w:sz w:val="20"/>
          <w:szCs w:val="20"/>
        </w:rPr>
        <w:t xml:space="preserve"> colonial </w:t>
      </w:r>
      <w:proofErr w:type="spellStart"/>
      <w:r w:rsidRPr="009046EC">
        <w:rPr>
          <w:sz w:val="20"/>
          <w:szCs w:val="20"/>
        </w:rPr>
        <w:t>logic</w:t>
      </w:r>
      <w:proofErr w:type="spellEnd"/>
      <w:r w:rsidRPr="009046EC">
        <w:rPr>
          <w:sz w:val="20"/>
          <w:szCs w:val="20"/>
        </w:rPr>
        <w:t>.</w:t>
      </w:r>
    </w:p>
    <w:p w14:paraId="08C9ECB2" w14:textId="1B7BCDF5" w:rsidR="004F776F" w:rsidRDefault="004F776F" w:rsidP="004F776F">
      <w:pPr>
        <w:spacing w:line="240" w:lineRule="auto"/>
        <w:ind w:left="2835"/>
        <w:jc w:val="both"/>
        <w:rPr>
          <w:sz w:val="20"/>
          <w:szCs w:val="20"/>
        </w:rPr>
      </w:pPr>
      <w:r w:rsidRPr="008A3A17">
        <w:rPr>
          <w:b/>
          <w:sz w:val="20"/>
          <w:szCs w:val="20"/>
          <w:lang w:val="en-US"/>
        </w:rPr>
        <w:t>Keywords</w:t>
      </w:r>
      <w:r w:rsidRPr="008A3A17">
        <w:rPr>
          <w:sz w:val="20"/>
          <w:szCs w:val="20"/>
          <w:lang w:val="en-US"/>
        </w:rPr>
        <w:t xml:space="preserve">: </w:t>
      </w:r>
      <w:r w:rsidR="00294893" w:rsidRPr="00294893">
        <w:rPr>
          <w:sz w:val="20"/>
          <w:szCs w:val="20"/>
        </w:rPr>
        <w:t xml:space="preserve">Social Death </w:t>
      </w:r>
      <w:proofErr w:type="spellStart"/>
      <w:r w:rsidR="00294893" w:rsidRPr="00294893">
        <w:rPr>
          <w:sz w:val="20"/>
          <w:szCs w:val="20"/>
        </w:rPr>
        <w:t>Penalty</w:t>
      </w:r>
      <w:proofErr w:type="spellEnd"/>
      <w:r w:rsidR="00294893" w:rsidRPr="00294893">
        <w:rPr>
          <w:sz w:val="20"/>
          <w:szCs w:val="20"/>
        </w:rPr>
        <w:t xml:space="preserve">; </w:t>
      </w:r>
      <w:proofErr w:type="spellStart"/>
      <w:r w:rsidR="00294893" w:rsidRPr="00294893">
        <w:rPr>
          <w:sz w:val="20"/>
          <w:szCs w:val="20"/>
        </w:rPr>
        <w:t>Prison</w:t>
      </w:r>
      <w:proofErr w:type="spellEnd"/>
      <w:r w:rsidR="00294893" w:rsidRPr="00294893">
        <w:rPr>
          <w:sz w:val="20"/>
          <w:szCs w:val="20"/>
        </w:rPr>
        <w:t xml:space="preserve"> System; </w:t>
      </w:r>
      <w:proofErr w:type="spellStart"/>
      <w:r w:rsidR="00294893" w:rsidRPr="00294893">
        <w:rPr>
          <w:sz w:val="20"/>
          <w:szCs w:val="20"/>
        </w:rPr>
        <w:t>Structural</w:t>
      </w:r>
      <w:proofErr w:type="spellEnd"/>
      <w:r w:rsidR="00294893" w:rsidRPr="00294893">
        <w:rPr>
          <w:sz w:val="20"/>
          <w:szCs w:val="20"/>
        </w:rPr>
        <w:t xml:space="preserve"> </w:t>
      </w:r>
      <w:proofErr w:type="spellStart"/>
      <w:r w:rsidR="00294893" w:rsidRPr="00294893">
        <w:rPr>
          <w:sz w:val="20"/>
          <w:szCs w:val="20"/>
        </w:rPr>
        <w:t>Racism</w:t>
      </w:r>
      <w:proofErr w:type="spellEnd"/>
      <w:r w:rsidR="000E0097">
        <w:rPr>
          <w:sz w:val="20"/>
          <w:szCs w:val="20"/>
        </w:rPr>
        <w:t>.</w:t>
      </w:r>
    </w:p>
    <w:p w14:paraId="0DC42168" w14:textId="77777777" w:rsidR="00736856" w:rsidRDefault="00736856" w:rsidP="004F776F">
      <w:pPr>
        <w:spacing w:line="240" w:lineRule="auto"/>
        <w:ind w:left="2835"/>
        <w:jc w:val="both"/>
        <w:rPr>
          <w:sz w:val="20"/>
          <w:szCs w:val="20"/>
        </w:rPr>
      </w:pPr>
    </w:p>
    <w:p w14:paraId="60BF2CF5" w14:textId="77777777" w:rsidR="00736856" w:rsidRDefault="00736856" w:rsidP="004F776F">
      <w:pPr>
        <w:spacing w:line="240" w:lineRule="auto"/>
        <w:ind w:left="2835"/>
        <w:jc w:val="both"/>
        <w:rPr>
          <w:sz w:val="20"/>
          <w:szCs w:val="20"/>
        </w:rPr>
      </w:pPr>
    </w:p>
    <w:p w14:paraId="494B9C4A" w14:textId="77777777" w:rsidR="00736856" w:rsidRDefault="00736856" w:rsidP="004F776F">
      <w:pPr>
        <w:spacing w:line="240" w:lineRule="auto"/>
        <w:ind w:left="2835"/>
        <w:jc w:val="both"/>
        <w:rPr>
          <w:sz w:val="20"/>
          <w:szCs w:val="20"/>
        </w:rPr>
      </w:pPr>
    </w:p>
    <w:p w14:paraId="69D6B3A6" w14:textId="78FAC5E5" w:rsidR="00736856" w:rsidRPr="00736856" w:rsidRDefault="00736856" w:rsidP="004F776F">
      <w:pPr>
        <w:spacing w:line="360" w:lineRule="auto"/>
        <w:jc w:val="both"/>
        <w:rPr>
          <w:sz w:val="24"/>
          <w:szCs w:val="24"/>
        </w:rPr>
      </w:pPr>
    </w:p>
    <w:p w14:paraId="2B759A97" w14:textId="77777777" w:rsidR="004F776F" w:rsidRPr="00786D45" w:rsidRDefault="004F776F" w:rsidP="00767AFC">
      <w:pPr>
        <w:spacing w:line="360" w:lineRule="auto"/>
        <w:rPr>
          <w:b/>
          <w:sz w:val="28"/>
          <w:szCs w:val="28"/>
        </w:rPr>
      </w:pPr>
      <w:r>
        <w:rPr>
          <w:b/>
          <w:sz w:val="24"/>
          <w:szCs w:val="24"/>
        </w:rPr>
        <w:br w:type="page"/>
      </w:r>
      <w:r w:rsidRPr="00767AFC">
        <w:rPr>
          <w:b/>
          <w:sz w:val="24"/>
          <w:szCs w:val="24"/>
        </w:rPr>
        <w:lastRenderedPageBreak/>
        <w:t>1</w:t>
      </w:r>
      <w:r w:rsidRPr="00767AFC">
        <w:rPr>
          <w:b/>
          <w:sz w:val="24"/>
          <w:szCs w:val="24"/>
        </w:rPr>
        <w:tab/>
        <w:t>INTRODUÇÃO</w:t>
      </w:r>
    </w:p>
    <w:p w14:paraId="59B86799" w14:textId="77777777" w:rsidR="004F776F" w:rsidRDefault="004F776F" w:rsidP="00F2735F">
      <w:pPr>
        <w:spacing w:line="360" w:lineRule="auto"/>
        <w:jc w:val="both"/>
        <w:rPr>
          <w:sz w:val="24"/>
          <w:szCs w:val="24"/>
        </w:rPr>
      </w:pPr>
    </w:p>
    <w:p w14:paraId="4EF7D2F9" w14:textId="77777777" w:rsidR="00D71667" w:rsidRPr="00D71667" w:rsidRDefault="00D71667" w:rsidP="00D71667">
      <w:pPr>
        <w:spacing w:line="360" w:lineRule="auto"/>
        <w:ind w:firstLine="720"/>
        <w:jc w:val="both"/>
        <w:rPr>
          <w:sz w:val="24"/>
          <w:szCs w:val="24"/>
        </w:rPr>
      </w:pPr>
      <w:r w:rsidRPr="00D71667">
        <w:rPr>
          <w:sz w:val="24"/>
          <w:szCs w:val="24"/>
        </w:rPr>
        <w:t>Pensar no sistema prisional é algo fadado a constante desaprovação e críticas negativas, as prisões no Brasil têm como fator preponderante a exclusão de indivíduos que afetam a ordem social (DURKHEIM, 1999), contrapondo a ideia exata de Durkheim onde tal punição seria benéfica a todo corpo social e seria de consenso mútuo, a ordem social é aqui imposta pelo Estado operado por uma determinada classe e cor, com isso também as noções de moralidade e ética.  </w:t>
      </w:r>
    </w:p>
    <w:p w14:paraId="146578DF" w14:textId="52401F79" w:rsidR="00D71667" w:rsidRPr="00D71667" w:rsidRDefault="00D71667" w:rsidP="00736856">
      <w:pPr>
        <w:spacing w:line="360" w:lineRule="auto"/>
        <w:ind w:firstLine="720"/>
        <w:jc w:val="both"/>
        <w:rPr>
          <w:sz w:val="24"/>
          <w:szCs w:val="24"/>
        </w:rPr>
      </w:pPr>
      <w:r w:rsidRPr="00D71667">
        <w:rPr>
          <w:sz w:val="24"/>
          <w:szCs w:val="24"/>
        </w:rPr>
        <w:t xml:space="preserve">As prisões utilizam de seu mecanismo tanto para o controle social quanto para a reafirmação da moral dominante e hierarquização racial. Entendendo quem detém o poder de manipular o que a sociedade compreende como a “ordem social” que deve ser estabelecida para o bom funcionamento do país, temos que pensar quem são aqueles que não os possuem, e compreender o Brasil como um país de essência escravagista e colonial, onde o racismo não ocorre apenas em situações individuais e explícitas, mas se interliga com as instituições, mercado, mídia e tudo que rege a sociedade, permitindo assim analisar o caminho escasso para a ascensão social do corpo negro, e a rapidez para a opressão racial no contexto institucional. Se faz imprescindível enxergar a dimensão da estrutura racista (ALMEIDA, 2019) que se funde, consideravelmente, com as expressões coloniais (QUIJANO, 2005) e determinações de caráter </w:t>
      </w:r>
      <w:proofErr w:type="spellStart"/>
      <w:r w:rsidR="00736856" w:rsidRPr="00D71667">
        <w:rPr>
          <w:sz w:val="24"/>
          <w:szCs w:val="24"/>
        </w:rPr>
        <w:t>necropolític</w:t>
      </w:r>
      <w:r w:rsidR="00736856">
        <w:rPr>
          <w:sz w:val="24"/>
          <w:szCs w:val="24"/>
        </w:rPr>
        <w:t>o</w:t>
      </w:r>
      <w:proofErr w:type="spellEnd"/>
      <w:r w:rsidRPr="00D71667">
        <w:rPr>
          <w:sz w:val="24"/>
          <w:szCs w:val="24"/>
        </w:rPr>
        <w:t xml:space="preserve"> (MBEMBE, 2003), revelando o biopoder (FOUCAULT, 1999), sendo estes fundamentais na exclusão social de pessoas </w:t>
      </w:r>
      <w:proofErr w:type="spellStart"/>
      <w:r w:rsidRPr="00D71667">
        <w:rPr>
          <w:sz w:val="24"/>
          <w:szCs w:val="24"/>
        </w:rPr>
        <w:t>racializadas</w:t>
      </w:r>
      <w:proofErr w:type="spellEnd"/>
      <w:r w:rsidRPr="00D71667">
        <w:rPr>
          <w:sz w:val="24"/>
          <w:szCs w:val="24"/>
        </w:rPr>
        <w:t>, acarretando um disparo na difusão do crime nesses espaços marginalizados onde, posteriormente, tais pessoas são concebidas nas estatísticas do cárcere, prologando as múltiplas questões acerca do encarceramento em massa e concluindo o processo discriminatório, reiterado na essência do Estado punitivista (FOUCAULT, 1987), desigual e violento onde se posiciona pessoas não-brancas, não para punir seus crimes, mas para punir seus corpos e existência.  </w:t>
      </w:r>
    </w:p>
    <w:p w14:paraId="1B73E393" w14:textId="77777777" w:rsidR="00736856" w:rsidRDefault="00D71667" w:rsidP="00D71667">
      <w:pPr>
        <w:spacing w:line="360" w:lineRule="auto"/>
        <w:jc w:val="both"/>
        <w:rPr>
          <w:sz w:val="24"/>
          <w:szCs w:val="24"/>
        </w:rPr>
      </w:pPr>
      <w:r w:rsidRPr="00D71667">
        <w:rPr>
          <w:sz w:val="24"/>
          <w:szCs w:val="24"/>
        </w:rPr>
        <w:lastRenderedPageBreak/>
        <w:t xml:space="preserve">Todo esse percurso ocorre para operar a pena de morte social naqueles que, pensando sob um viés racista e colonial, o sistema considera que deveriam ser aniquilados. </w:t>
      </w:r>
    </w:p>
    <w:p w14:paraId="13DAB165" w14:textId="01044266" w:rsidR="00D71667" w:rsidRPr="00D71667" w:rsidRDefault="00D71667" w:rsidP="00736856">
      <w:pPr>
        <w:spacing w:line="360" w:lineRule="auto"/>
        <w:ind w:firstLine="720"/>
        <w:jc w:val="both"/>
        <w:rPr>
          <w:sz w:val="24"/>
          <w:szCs w:val="24"/>
        </w:rPr>
      </w:pPr>
      <w:r w:rsidRPr="00D71667">
        <w:rPr>
          <w:sz w:val="24"/>
          <w:szCs w:val="24"/>
        </w:rPr>
        <w:t>Cabe, além de tudo, pensar sobre as condições degradantes oferecidas ao indivíduo que adentra o sistema prisional, e entender a sua função ideal e a função real, função aquela que existe para excluir, ou, melhor dizendo, para aplicar a pena de morte social ao detento e extrair as possibilidades de “reintegração social” (conceito que mascara uma instituição desumana e reforçadora de comportamentos repressivos).  </w:t>
      </w:r>
    </w:p>
    <w:p w14:paraId="47D433E0" w14:textId="77777777" w:rsidR="00D71667" w:rsidRPr="00D71667" w:rsidRDefault="00D71667" w:rsidP="00736856">
      <w:pPr>
        <w:spacing w:line="360" w:lineRule="auto"/>
        <w:ind w:firstLine="720"/>
        <w:jc w:val="both"/>
        <w:rPr>
          <w:sz w:val="24"/>
          <w:szCs w:val="24"/>
        </w:rPr>
      </w:pPr>
      <w:r w:rsidRPr="00D71667">
        <w:rPr>
          <w:sz w:val="24"/>
          <w:szCs w:val="24"/>
        </w:rPr>
        <w:t>Contudo, este artigo visa desmitificar o sistema prisional como sistema ressocializador, compreendendo o mesmo como instituição de estrutura racista, de lógica de dominação e subalternizada herdada pela colonialidade, que opera sob uma ótica necropolítica, e principal disseminador da exclusão de corpos negros, aplicando nessa argumentação o conceito de pena de morte social, que serve de mecanismo para a continuidade dessa noção hegemônica crucial na existência preta da sociedade brasileira.  </w:t>
      </w:r>
    </w:p>
    <w:p w14:paraId="3A231D4A" w14:textId="77777777" w:rsidR="004F776F" w:rsidRDefault="004F776F" w:rsidP="00F2735F">
      <w:pPr>
        <w:spacing w:line="360" w:lineRule="auto"/>
        <w:jc w:val="both"/>
        <w:rPr>
          <w:sz w:val="24"/>
          <w:szCs w:val="24"/>
        </w:rPr>
      </w:pPr>
    </w:p>
    <w:p w14:paraId="2F4A864E" w14:textId="77777777" w:rsidR="00734FE4" w:rsidRPr="00786D45" w:rsidRDefault="004F776F" w:rsidP="00734FE4">
      <w:pPr>
        <w:spacing w:line="360" w:lineRule="auto"/>
        <w:jc w:val="both"/>
        <w:rPr>
          <w:b/>
          <w:sz w:val="28"/>
          <w:szCs w:val="28"/>
        </w:rPr>
      </w:pPr>
      <w:r w:rsidRPr="00767AFC">
        <w:rPr>
          <w:b/>
        </w:rPr>
        <w:t>2</w:t>
      </w:r>
      <w:r w:rsidRPr="00767AFC">
        <w:rPr>
          <w:b/>
        </w:rPr>
        <w:tab/>
      </w:r>
      <w:r w:rsidR="00734FE4" w:rsidRPr="00767AFC">
        <w:rPr>
          <w:b/>
        </w:rPr>
        <w:t>A POPULAÇÃO CARCERÁRIA COMO RESULTADO DA MARGINALIZAÇÃO DE CORPOS NEGROS SUSTENTADA PELAS RAÍZES DO RACISMO ESTRUTURAL E A HERANÇA COLONIAL</w:t>
      </w:r>
      <w:r w:rsidR="00734FE4" w:rsidRPr="00786D45">
        <w:rPr>
          <w:b/>
          <w:sz w:val="28"/>
          <w:szCs w:val="28"/>
        </w:rPr>
        <w:t xml:space="preserve">.  </w:t>
      </w:r>
    </w:p>
    <w:p w14:paraId="2420942D" w14:textId="091F18DC" w:rsidR="00E76059" w:rsidRDefault="00734FE4" w:rsidP="00E76059">
      <w:pPr>
        <w:spacing w:line="360" w:lineRule="auto"/>
        <w:ind w:firstLine="720"/>
        <w:jc w:val="both"/>
        <w:rPr>
          <w:bCs/>
          <w:sz w:val="24"/>
          <w:szCs w:val="24"/>
        </w:rPr>
      </w:pPr>
      <w:r w:rsidRPr="00734FE4">
        <w:rPr>
          <w:bCs/>
          <w:sz w:val="24"/>
          <w:szCs w:val="24"/>
        </w:rPr>
        <w:t xml:space="preserve">De acordo com dados do 2° semestre de 2024 fornecidos pelo Sistema Nacional de Informações Penais – SISDEPEN, a população carcerária em celas físicas era, nesse período, de 670.265 pessoas, das quais 324.742 são declaradas pardas e 105.178 são declaradas pretas, entre homens e mulheres. A população preta e parda envolve mais de 60% do total de pessoas em situação de cárcere, essa porcentagem ocupa mais de 85% da capacidade de vagas em celas físicas, evidenciando a superlotação e concentração racial nesse sistema. Esses dados refletem a consistência da estrutura racista e do estado punitivista, agindo na constante realização de sua função de condenar corpos negros ao abismo social entre </w:t>
      </w:r>
      <w:r w:rsidRPr="00734FE4">
        <w:rPr>
          <w:bCs/>
          <w:sz w:val="24"/>
          <w:szCs w:val="24"/>
        </w:rPr>
        <w:lastRenderedPageBreak/>
        <w:t xml:space="preserve">cidadania e desumanização. Esta condenação social tem sua essência no </w:t>
      </w:r>
      <w:proofErr w:type="spellStart"/>
      <w:r w:rsidRPr="00734FE4">
        <w:rPr>
          <w:bCs/>
          <w:sz w:val="24"/>
          <w:szCs w:val="24"/>
        </w:rPr>
        <w:t>pré</w:t>
      </w:r>
      <w:proofErr w:type="spellEnd"/>
      <w:r w:rsidRPr="00734FE4">
        <w:rPr>
          <w:bCs/>
          <w:sz w:val="24"/>
          <w:szCs w:val="24"/>
        </w:rPr>
        <w:t xml:space="preserve">-cárcere, onde se articula discriminações e a não-garantia de direitos para pessoas </w:t>
      </w:r>
      <w:proofErr w:type="spellStart"/>
      <w:r w:rsidRPr="00734FE4">
        <w:rPr>
          <w:bCs/>
          <w:sz w:val="24"/>
          <w:szCs w:val="24"/>
        </w:rPr>
        <w:t>racializadas</w:t>
      </w:r>
      <w:proofErr w:type="spellEnd"/>
      <w:r w:rsidRPr="00734FE4">
        <w:rPr>
          <w:bCs/>
          <w:sz w:val="24"/>
          <w:szCs w:val="24"/>
        </w:rPr>
        <w:t xml:space="preserve">, compelindo-as a viverem socialmente subalternizadas, constantemente sendo reféns de políticas públicas inoperantes expelidas por pressões sociais, mas que ainda assim são criadas logisticamente para não perturbar a dominância da classe que detém o poder, onde se estabelece a verdadeira biopolítica, gerando a hierarquia do merecimento da vida, </w:t>
      </w:r>
      <w:r w:rsidR="009C54AB">
        <w:rPr>
          <w:bCs/>
          <w:sz w:val="24"/>
          <w:szCs w:val="24"/>
        </w:rPr>
        <w:t>definindo</w:t>
      </w:r>
      <w:r w:rsidRPr="00734FE4">
        <w:rPr>
          <w:bCs/>
          <w:sz w:val="24"/>
          <w:szCs w:val="24"/>
        </w:rPr>
        <w:t xml:space="preserve"> as pessoas que merecem viver e aquelas que devem ser expostas à morte (FOUCAULT, 1999), sendo ela no sentido literal, ou no sentido social fazendo assim a exclusão e marginalização desses corpos, uma hegemonia advinda de uma colonização europeia onde se negou ao negro a sua posição de humano, e os alocou a condições degradantes de sobrevivência, consistindo no crime para tal.  </w:t>
      </w:r>
    </w:p>
    <w:p w14:paraId="4964E426" w14:textId="77777777" w:rsidR="00E76059" w:rsidRPr="00E76059" w:rsidRDefault="00E76059" w:rsidP="00E76059">
      <w:pPr>
        <w:spacing w:line="360" w:lineRule="auto"/>
        <w:ind w:firstLine="720"/>
        <w:jc w:val="both"/>
        <w:rPr>
          <w:bCs/>
          <w:sz w:val="24"/>
          <w:szCs w:val="24"/>
        </w:rPr>
      </w:pPr>
    </w:p>
    <w:p w14:paraId="3C5742EA" w14:textId="0B6A1052" w:rsidR="00734FE4" w:rsidRPr="00734FE4" w:rsidRDefault="00734FE4" w:rsidP="00734FE4">
      <w:pPr>
        <w:spacing w:line="360" w:lineRule="auto"/>
        <w:jc w:val="both"/>
        <w:rPr>
          <w:b/>
          <w:sz w:val="24"/>
          <w:szCs w:val="24"/>
        </w:rPr>
      </w:pPr>
      <w:r w:rsidRPr="00734FE4">
        <w:rPr>
          <w:b/>
          <w:sz w:val="24"/>
          <w:szCs w:val="24"/>
        </w:rPr>
        <w:t xml:space="preserve">2.1 Do escravo ao preso: </w:t>
      </w:r>
      <w:r>
        <w:rPr>
          <w:b/>
          <w:sz w:val="24"/>
          <w:szCs w:val="24"/>
        </w:rPr>
        <w:t>a consistência racista das instituições</w:t>
      </w:r>
      <w:r w:rsidRPr="00734FE4">
        <w:rPr>
          <w:b/>
          <w:sz w:val="24"/>
          <w:szCs w:val="24"/>
        </w:rPr>
        <w:t xml:space="preserve">.  </w:t>
      </w:r>
    </w:p>
    <w:p w14:paraId="3B682B35" w14:textId="77777777" w:rsidR="00734FE4" w:rsidRDefault="00734FE4" w:rsidP="00734FE4">
      <w:pPr>
        <w:spacing w:line="360" w:lineRule="auto"/>
        <w:ind w:firstLine="720"/>
        <w:jc w:val="both"/>
        <w:rPr>
          <w:bCs/>
          <w:sz w:val="24"/>
          <w:szCs w:val="24"/>
        </w:rPr>
      </w:pPr>
      <w:r w:rsidRPr="00734FE4">
        <w:rPr>
          <w:bCs/>
          <w:sz w:val="24"/>
          <w:szCs w:val="24"/>
        </w:rPr>
        <w:t>A herança escravagista atua intrinsicamente nas relações sociais que conhecemos hoje, conseguindo cristalizar uma sociedade erguida sob o sangue de</w:t>
      </w:r>
    </w:p>
    <w:p w14:paraId="08FAB2B0" w14:textId="439635FB" w:rsidR="00734FE4" w:rsidRDefault="00734FE4" w:rsidP="00734FE4">
      <w:pPr>
        <w:spacing w:line="360" w:lineRule="auto"/>
        <w:jc w:val="both"/>
        <w:rPr>
          <w:bCs/>
          <w:sz w:val="24"/>
          <w:szCs w:val="24"/>
        </w:rPr>
      </w:pPr>
      <w:r w:rsidRPr="00734FE4">
        <w:rPr>
          <w:bCs/>
          <w:sz w:val="24"/>
          <w:szCs w:val="24"/>
        </w:rPr>
        <w:t xml:space="preserve">pessoas não-brancas, antes no regime escravocrata, agora na perpetuação do genocídio negro nas periferias. A escravidão construiu a imagem do negro como alguém a ser morto socialmente, sem participação na cidadania e com ocupações inferiorizadas, consolidando posteriormente a estrutura racista institucional que expele a ideia de que pessoas negras não são aptas as mesmas condições de vida que pessoas brancas, implicando a ineficácia de acesso aos direitos básicos, como a educação, e fixando a “naturalização” dessa negação de direitos para aqueles que ocupam a “parte que não tem parte”, como denomina </w:t>
      </w:r>
      <w:proofErr w:type="spellStart"/>
      <w:r w:rsidRPr="00734FE4">
        <w:rPr>
          <w:bCs/>
          <w:sz w:val="24"/>
          <w:szCs w:val="24"/>
        </w:rPr>
        <w:t>Rancière</w:t>
      </w:r>
      <w:proofErr w:type="spellEnd"/>
      <w:r w:rsidRPr="00734FE4">
        <w:rPr>
          <w:bCs/>
          <w:sz w:val="24"/>
          <w:szCs w:val="24"/>
        </w:rPr>
        <w:t>, 19</w:t>
      </w:r>
      <w:r w:rsidR="00D438C7">
        <w:rPr>
          <w:bCs/>
          <w:sz w:val="24"/>
          <w:szCs w:val="24"/>
        </w:rPr>
        <w:t>95</w:t>
      </w:r>
      <w:r w:rsidRPr="00734FE4">
        <w:rPr>
          <w:bCs/>
          <w:sz w:val="24"/>
          <w:szCs w:val="24"/>
        </w:rPr>
        <w:t xml:space="preserve">. </w:t>
      </w:r>
    </w:p>
    <w:p w14:paraId="0DCA42CF" w14:textId="67642C0C" w:rsidR="00734FE4" w:rsidRPr="00734FE4" w:rsidRDefault="00734FE4" w:rsidP="00734FE4">
      <w:pPr>
        <w:spacing w:line="360" w:lineRule="auto"/>
        <w:ind w:firstLine="720"/>
        <w:jc w:val="both"/>
        <w:rPr>
          <w:bCs/>
          <w:sz w:val="24"/>
          <w:szCs w:val="24"/>
        </w:rPr>
      </w:pPr>
      <w:r w:rsidRPr="00734FE4">
        <w:rPr>
          <w:bCs/>
          <w:sz w:val="24"/>
          <w:szCs w:val="24"/>
        </w:rPr>
        <w:t xml:space="preserve">Essa estrutura racista age na manutenção do entendimento social, se opera uma pressão sobre os corpos negro, existindo a manipulação de demasiados dispositivos sociais (ALMEIDA, 2019), como o excludente sensacionalismo midiático em meios jornalísticos reforçando a ideia de que o negro é uma figura perigosa e causa principal da alta taxa de criminalidade, punindo esse grupo racial ao ciclo </w:t>
      </w:r>
      <w:r w:rsidRPr="00734FE4">
        <w:rPr>
          <w:bCs/>
          <w:sz w:val="24"/>
          <w:szCs w:val="24"/>
        </w:rPr>
        <w:lastRenderedPageBreak/>
        <w:t xml:space="preserve">discriminatório e estereotipado, codificando o racismo em sua forma mais indireta e normalizada, compelindo a associação do negro ao crime até aquele que nem ao menos conhece a prática criminal. </w:t>
      </w:r>
    </w:p>
    <w:p w14:paraId="5C92A080" w14:textId="410E0391" w:rsidR="00734FE4" w:rsidRPr="00734FE4" w:rsidRDefault="00734FE4" w:rsidP="00734FE4">
      <w:pPr>
        <w:spacing w:line="360" w:lineRule="auto"/>
        <w:jc w:val="both"/>
        <w:rPr>
          <w:bCs/>
          <w:sz w:val="24"/>
          <w:szCs w:val="24"/>
        </w:rPr>
      </w:pPr>
      <w:r w:rsidRPr="00734FE4">
        <w:rPr>
          <w:bCs/>
          <w:sz w:val="24"/>
          <w:szCs w:val="24"/>
        </w:rPr>
        <w:t>Desse modo, cria-se a justificativa para a intervenção do Estado na punição dessas pessoas que se especula a inclinação para a “desordem social”, nessa maneira iremos de encontro ao pensamento d</w:t>
      </w:r>
      <w:r w:rsidR="001E4063">
        <w:rPr>
          <w:bCs/>
          <w:sz w:val="24"/>
          <w:szCs w:val="24"/>
        </w:rPr>
        <w:t xml:space="preserve">o autor </w:t>
      </w:r>
      <w:r w:rsidRPr="00734FE4">
        <w:rPr>
          <w:bCs/>
          <w:sz w:val="24"/>
          <w:szCs w:val="24"/>
        </w:rPr>
        <w:t>Silvio Almeida</w:t>
      </w:r>
      <w:r w:rsidR="001E4063">
        <w:rPr>
          <w:bCs/>
          <w:sz w:val="24"/>
          <w:szCs w:val="24"/>
        </w:rPr>
        <w:t xml:space="preserve"> em uma de suas obras:</w:t>
      </w:r>
    </w:p>
    <w:p w14:paraId="080F4D8E" w14:textId="35983D5C" w:rsidR="00734FE4" w:rsidRDefault="00734FE4" w:rsidP="001E4063">
      <w:pPr>
        <w:spacing w:line="240" w:lineRule="auto"/>
        <w:ind w:left="2268"/>
        <w:jc w:val="both"/>
        <w:rPr>
          <w:bCs/>
          <w:sz w:val="20"/>
          <w:szCs w:val="20"/>
        </w:rPr>
      </w:pPr>
      <w:r w:rsidRPr="00734FE4">
        <w:rPr>
          <w:bCs/>
          <w:sz w:val="20"/>
          <w:szCs w:val="20"/>
        </w:rPr>
        <w:t xml:space="preserve">Uma vez que o Estado é a forma política do mundo contemporâneo, o racismo não poderia se reproduzir se, ao mesmo tempo, não alimentasse e fosse também alimentado pelas estruturas estatais. É por meio do Estado que a classificação de pessoas e a divisão dos indivíduos em classes e grupos é realizada. </w:t>
      </w:r>
      <w:r w:rsidR="001E4063">
        <w:rPr>
          <w:bCs/>
          <w:sz w:val="20"/>
          <w:szCs w:val="20"/>
        </w:rPr>
        <w:t>(Almeida, 2019, p. 54)</w:t>
      </w:r>
    </w:p>
    <w:p w14:paraId="0F422BF8" w14:textId="77777777" w:rsidR="001E4063" w:rsidRPr="00734FE4" w:rsidRDefault="001E4063" w:rsidP="001E4063">
      <w:pPr>
        <w:spacing w:line="240" w:lineRule="auto"/>
        <w:ind w:left="2268"/>
        <w:jc w:val="both"/>
        <w:rPr>
          <w:bCs/>
          <w:sz w:val="20"/>
          <w:szCs w:val="20"/>
        </w:rPr>
      </w:pPr>
    </w:p>
    <w:p w14:paraId="142FADBE" w14:textId="77777777" w:rsidR="00734FE4" w:rsidRPr="00734FE4" w:rsidRDefault="00734FE4" w:rsidP="001E4063">
      <w:pPr>
        <w:spacing w:line="360" w:lineRule="auto"/>
        <w:ind w:firstLine="720"/>
        <w:jc w:val="both"/>
        <w:rPr>
          <w:bCs/>
          <w:sz w:val="24"/>
          <w:szCs w:val="24"/>
        </w:rPr>
      </w:pPr>
      <w:r w:rsidRPr="00734FE4">
        <w:rPr>
          <w:bCs/>
          <w:sz w:val="24"/>
          <w:szCs w:val="24"/>
        </w:rPr>
        <w:t xml:space="preserve">No período colonial se fazia presente algo detentor de poder suficiente para alinhar a pessoa negra aos espaços minoritários e oprimidos, sendo agora o Estado como proliferador dessa concepção de inferioridade racial, onde se pratica a gestão de pessoas, ou seja, se precariza o básico, essa prática intensifica o crime como recurso sobre aquilo que não pode se fazer uso, aplicando uma ideia massiva de essência periculosa no indivíduo não-branco, escondendo a inoperância governamental, nessa linha temos a pressão social pela punição, remanejando este “criminoso” de um local marginalizado, para um local insalubre, superlotado e esquecido: a cadeia; finalizando assim a reclusão de cidadania que abrange o corpo negro periférico, marcando esta pessoa com um antecedente criminal como se fosse um “diagnóstico terminal”; após a abolição da escravidão, o abandono estatal conduziu os negros recém-libertos a uma profunda precarização social.  </w:t>
      </w:r>
    </w:p>
    <w:p w14:paraId="0A77D6FB" w14:textId="49D63C54" w:rsidR="004F776F" w:rsidRPr="00734FE4" w:rsidRDefault="00734FE4" w:rsidP="001E4063">
      <w:pPr>
        <w:spacing w:line="360" w:lineRule="auto"/>
        <w:ind w:firstLine="720"/>
        <w:jc w:val="both"/>
        <w:rPr>
          <w:bCs/>
          <w:sz w:val="24"/>
          <w:szCs w:val="24"/>
        </w:rPr>
      </w:pPr>
      <w:r w:rsidRPr="00734FE4">
        <w:rPr>
          <w:bCs/>
          <w:sz w:val="24"/>
          <w:szCs w:val="24"/>
        </w:rPr>
        <w:t xml:space="preserve">De forma análoga, hoje, o egresso do sistema prisional é destinado a um ciclo de desamparo e repressão que redefine os verdadeiros limites de sua liberdade constitucional. </w:t>
      </w:r>
      <w:r w:rsidR="00936480">
        <w:rPr>
          <w:bCs/>
          <w:sz w:val="24"/>
          <w:szCs w:val="24"/>
        </w:rPr>
        <w:t>Fecha-se, assim, um processo iníquo</w:t>
      </w:r>
      <w:r w:rsidRPr="00734FE4">
        <w:rPr>
          <w:bCs/>
          <w:sz w:val="24"/>
          <w:szCs w:val="24"/>
        </w:rPr>
        <w:t xml:space="preserve"> partindo de uma precarização de garantia de direitos, operando o corpo social na opressão, influindo na morte social quando se cumpre a pena jurídica, mas nunca a pena ideológica. “O escravo, por conseguinte, é mantido vivo, mas em estado de injúria, em um mundo espectral de horrores, crueldade e profanidade intensos.” (MBEMBE, 2018, p. 23)</w:t>
      </w:r>
    </w:p>
    <w:p w14:paraId="783F30B1" w14:textId="77777777" w:rsidR="003F199A" w:rsidRPr="003F199A" w:rsidRDefault="004F776F" w:rsidP="003F199A">
      <w:pPr>
        <w:spacing w:line="360" w:lineRule="auto"/>
        <w:jc w:val="both"/>
        <w:rPr>
          <w:b/>
          <w:sz w:val="24"/>
          <w:szCs w:val="24"/>
        </w:rPr>
      </w:pPr>
      <w:r>
        <w:rPr>
          <w:b/>
          <w:sz w:val="24"/>
          <w:szCs w:val="24"/>
        </w:rPr>
        <w:t>2.</w:t>
      </w:r>
      <w:r w:rsidR="00D23C44">
        <w:rPr>
          <w:b/>
          <w:sz w:val="24"/>
          <w:szCs w:val="24"/>
        </w:rPr>
        <w:t>2</w:t>
      </w:r>
      <w:r>
        <w:rPr>
          <w:b/>
          <w:sz w:val="24"/>
          <w:szCs w:val="24"/>
        </w:rPr>
        <w:tab/>
      </w:r>
      <w:r w:rsidR="003F199A" w:rsidRPr="003F199A">
        <w:rPr>
          <w:b/>
          <w:sz w:val="24"/>
          <w:szCs w:val="24"/>
        </w:rPr>
        <w:t xml:space="preserve">A persistência da ordem colonial: raça, poder e exclusão.  </w:t>
      </w:r>
    </w:p>
    <w:p w14:paraId="2EB41449" w14:textId="77777777" w:rsidR="003F199A" w:rsidRDefault="003F199A" w:rsidP="003F199A">
      <w:pPr>
        <w:spacing w:line="360" w:lineRule="auto"/>
        <w:ind w:firstLine="720"/>
        <w:jc w:val="both"/>
        <w:rPr>
          <w:bCs/>
          <w:sz w:val="24"/>
          <w:szCs w:val="24"/>
        </w:rPr>
      </w:pPr>
      <w:r w:rsidRPr="003F199A">
        <w:rPr>
          <w:bCs/>
          <w:sz w:val="24"/>
          <w:szCs w:val="24"/>
        </w:rPr>
        <w:lastRenderedPageBreak/>
        <w:t xml:space="preserve">O entendimento da colonização histórica brasileira é fundamental para a compreensão da marginalização e subjeção do corpo negro que leva ao cárcere, colonização essa que não se findou com uma República Federativa ou Constituição Federal estabelecida, mas se enfatiza constantemente nas estruturas de dominação por si mesmo criada, denominada por Anibal </w:t>
      </w:r>
      <w:proofErr w:type="spellStart"/>
      <w:r w:rsidRPr="003F199A">
        <w:rPr>
          <w:bCs/>
          <w:sz w:val="24"/>
          <w:szCs w:val="24"/>
        </w:rPr>
        <w:t>Quijano</w:t>
      </w:r>
      <w:proofErr w:type="spellEnd"/>
      <w:r w:rsidRPr="003F199A">
        <w:rPr>
          <w:bCs/>
          <w:sz w:val="24"/>
          <w:szCs w:val="24"/>
        </w:rPr>
        <w:t xml:space="preserve"> como “Colonialidade do Poder”, que caracteriza a invenção da “raça” como principal logica dominante desse conceito, agindo não sob forças militares ou econômicas, mas se instaurando na mentalidade da sociedade para produzir a exclusão, hierarquia do poder e operar a subalternização de um povo precarizado. </w:t>
      </w:r>
    </w:p>
    <w:p w14:paraId="09D3392B" w14:textId="5D05EE98" w:rsidR="005E05A3" w:rsidRDefault="005E05A3" w:rsidP="005E05A3">
      <w:pPr>
        <w:spacing w:line="360" w:lineRule="auto"/>
        <w:ind w:left="-142" w:firstLine="142"/>
        <w:jc w:val="both"/>
        <w:rPr>
          <w:bCs/>
          <w:sz w:val="24"/>
          <w:szCs w:val="24"/>
        </w:rPr>
      </w:pPr>
      <w:r w:rsidRPr="005E05A3">
        <w:rPr>
          <w:bCs/>
          <w:sz w:val="24"/>
          <w:szCs w:val="24"/>
        </w:rPr>
        <w:t>A raça é institucionalizada como uma ferramenta de poder para proteger a hegemonia e os privilégios do grupo branco dominante. Qualquer indivíduo ou grupo que desafie essa hierarquia eurocêntrica é imediatamente percebido como uma ameaça à ordem vigente, tornando-se alvo de repressão social sob um viés discriminatório, excludente e classificatório (socioeconomicamente falando).</w:t>
      </w:r>
    </w:p>
    <w:p w14:paraId="4EE6E76C" w14:textId="62805376" w:rsidR="00011B9C" w:rsidRDefault="005E05A3" w:rsidP="00011B9C">
      <w:pPr>
        <w:spacing w:line="240" w:lineRule="auto"/>
        <w:ind w:left="2268"/>
        <w:jc w:val="both"/>
        <w:rPr>
          <w:bCs/>
          <w:sz w:val="20"/>
          <w:szCs w:val="20"/>
        </w:rPr>
      </w:pPr>
      <w:r>
        <w:rPr>
          <w:bCs/>
          <w:sz w:val="20"/>
          <w:szCs w:val="20"/>
        </w:rPr>
        <w:t>D</w:t>
      </w:r>
      <w:r w:rsidR="00011B9C" w:rsidRPr="00011B9C">
        <w:rPr>
          <w:bCs/>
          <w:sz w:val="20"/>
          <w:szCs w:val="20"/>
        </w:rPr>
        <w:t>esse modo, raça converteu-se no primeiro critério fundamental para a distribuição da população mundial nos níveis, lugares e papéis na estrutura de poder da nova sociedade. Em outras palavras, no modo básico de classificação social universal da população mundial.</w:t>
      </w:r>
      <w:r w:rsidR="00011B9C">
        <w:rPr>
          <w:bCs/>
          <w:sz w:val="20"/>
          <w:szCs w:val="20"/>
        </w:rPr>
        <w:t xml:space="preserve"> (</w:t>
      </w:r>
      <w:proofErr w:type="spellStart"/>
      <w:r w:rsidR="00011B9C">
        <w:rPr>
          <w:bCs/>
          <w:sz w:val="20"/>
          <w:szCs w:val="20"/>
        </w:rPr>
        <w:t>Quijano</w:t>
      </w:r>
      <w:proofErr w:type="spellEnd"/>
      <w:r w:rsidR="00011B9C">
        <w:rPr>
          <w:bCs/>
          <w:sz w:val="20"/>
          <w:szCs w:val="20"/>
        </w:rPr>
        <w:t xml:space="preserve">, 2005, </w:t>
      </w:r>
      <w:r w:rsidR="00AF7F1C">
        <w:rPr>
          <w:bCs/>
          <w:sz w:val="20"/>
          <w:szCs w:val="20"/>
        </w:rPr>
        <w:t>p. 118)</w:t>
      </w:r>
    </w:p>
    <w:p w14:paraId="2D22787A" w14:textId="77777777" w:rsidR="00AF7F1C" w:rsidRDefault="00AF7F1C" w:rsidP="00011B9C">
      <w:pPr>
        <w:spacing w:line="240" w:lineRule="auto"/>
        <w:ind w:left="2268"/>
        <w:jc w:val="both"/>
        <w:rPr>
          <w:bCs/>
          <w:sz w:val="20"/>
          <w:szCs w:val="20"/>
        </w:rPr>
      </w:pPr>
    </w:p>
    <w:p w14:paraId="11A17BF2" w14:textId="65C1BBF5" w:rsidR="00AF7F1C" w:rsidRDefault="00011F77" w:rsidP="00AF7F1C">
      <w:pPr>
        <w:spacing w:line="360" w:lineRule="auto"/>
        <w:ind w:firstLine="720"/>
        <w:jc w:val="both"/>
        <w:rPr>
          <w:bCs/>
          <w:sz w:val="24"/>
          <w:szCs w:val="24"/>
        </w:rPr>
      </w:pPr>
      <w:r w:rsidRPr="00011F77">
        <w:rPr>
          <w:bCs/>
          <w:sz w:val="24"/>
          <w:szCs w:val="24"/>
        </w:rPr>
        <w:t xml:space="preserve">Atribuído ao pensamento do autor Anibal </w:t>
      </w:r>
      <w:proofErr w:type="spellStart"/>
      <w:r w:rsidRPr="00011F77">
        <w:rPr>
          <w:bCs/>
          <w:sz w:val="24"/>
          <w:szCs w:val="24"/>
        </w:rPr>
        <w:t>Quijano</w:t>
      </w:r>
      <w:proofErr w:type="spellEnd"/>
      <w:r w:rsidRPr="00011F77">
        <w:rPr>
          <w:bCs/>
          <w:sz w:val="24"/>
          <w:szCs w:val="24"/>
        </w:rPr>
        <w:t xml:space="preserve">, a ascensão capitalista é um fator preponderante na disseminação dessa “pirâmide racial”. Essa estrutura não apenas gera desigualdade material, mas também </w:t>
      </w:r>
      <w:r w:rsidRPr="00403CDB">
        <w:rPr>
          <w:sz w:val="24"/>
          <w:szCs w:val="24"/>
        </w:rPr>
        <w:t xml:space="preserve">invalida e silencia a experiência dos grupos subalternizados, </w:t>
      </w:r>
      <w:r w:rsidRPr="00011F77">
        <w:rPr>
          <w:bCs/>
          <w:sz w:val="24"/>
          <w:szCs w:val="24"/>
        </w:rPr>
        <w:t>negando-lhes as ferramentas coletivas para nomear e compreender a própria opressão. Com isso, aniquila-se quaisquer resquícios de democracia e “plena liberdade de direitos”, como incitado no Artigo 5° da Constituição Federal do Brasil.</w:t>
      </w:r>
    </w:p>
    <w:p w14:paraId="0C16C1B9" w14:textId="77777777" w:rsidR="00EC2B40" w:rsidRDefault="00FE7FCF" w:rsidP="00EC2B40">
      <w:pPr>
        <w:spacing w:line="360" w:lineRule="auto"/>
        <w:ind w:firstLine="720"/>
        <w:jc w:val="both"/>
        <w:rPr>
          <w:bCs/>
          <w:sz w:val="24"/>
          <w:szCs w:val="24"/>
        </w:rPr>
      </w:pPr>
      <w:r w:rsidRPr="00FE7FCF">
        <w:rPr>
          <w:bCs/>
          <w:sz w:val="24"/>
          <w:szCs w:val="24"/>
        </w:rPr>
        <w:t xml:space="preserve">Sob essa conduta colonial, o Estado exerce papel fundamental na operação de atribuições funcionais trabalhistas de baixo valor de mercado ao corpo negro, onde aqueles que não aderem serão conduzidos ao “abismo social”, grande parte recorrendo ao crime como modo de sobreviver a esta hierarquia de biopoder, não se trata apenas de uma mera condução ao desemprego, mas uma alocação a “franja </w:t>
      </w:r>
      <w:r w:rsidRPr="00FE7FCF">
        <w:rPr>
          <w:bCs/>
          <w:sz w:val="24"/>
          <w:szCs w:val="24"/>
        </w:rPr>
        <w:lastRenderedPageBreak/>
        <w:t xml:space="preserve">marginal” (MOURA, 1983), poderia até mesmo referenciar Karl Marx e compreender esta conjuntura como um problema de mercado e priorizar o debate da luta de classes, mas esta visão eurocêntrica embarga a verdadeira problemática que funde o Brasil, o negro brasileiro não é apenas um proletariado abstrato, mas ele carrega consigo formações históricas que o fazem independer de apenas uma revolução industrial para exercer seu poder; o capitalismo, no que rege o Brasil </w:t>
      </w:r>
      <w:r w:rsidR="00856420" w:rsidRPr="00FE7FCF">
        <w:rPr>
          <w:bCs/>
          <w:sz w:val="24"/>
          <w:szCs w:val="24"/>
        </w:rPr>
        <w:t>contemporâneo</w:t>
      </w:r>
      <w:r w:rsidRPr="00FE7FCF">
        <w:rPr>
          <w:bCs/>
          <w:sz w:val="24"/>
          <w:szCs w:val="24"/>
        </w:rPr>
        <w:t xml:space="preserve">, se alimentou e se alimenta dessas raízes da escravidão para se fixar em sociedade e formar esse sistema econômico, porém tampouco é o que determina o papel social do negro nesse Estado, ele depende das raízes escravocratas, mas </w:t>
      </w:r>
      <w:r w:rsidR="00306250">
        <w:rPr>
          <w:bCs/>
          <w:sz w:val="24"/>
          <w:szCs w:val="24"/>
        </w:rPr>
        <w:t xml:space="preserve">estas raízes </w:t>
      </w:r>
      <w:r w:rsidRPr="00FE7FCF">
        <w:rPr>
          <w:bCs/>
          <w:sz w:val="24"/>
          <w:szCs w:val="24"/>
        </w:rPr>
        <w:t xml:space="preserve">já estavam firmadas antes desse sistema se implementar, e é por isso que o problema do negro não é o básico da luta de classes, a análise de classe marxista necessita de uma análise racial em sociedade com a herança escravagista e colonial, e é nessa inferiorização ao individuo </w:t>
      </w:r>
      <w:proofErr w:type="spellStart"/>
      <w:r w:rsidRPr="00FE7FCF">
        <w:rPr>
          <w:bCs/>
          <w:sz w:val="24"/>
          <w:szCs w:val="24"/>
        </w:rPr>
        <w:t>racializado</w:t>
      </w:r>
      <w:proofErr w:type="spellEnd"/>
      <w:r w:rsidRPr="00FE7FCF">
        <w:rPr>
          <w:bCs/>
          <w:sz w:val="24"/>
          <w:szCs w:val="24"/>
        </w:rPr>
        <w:t xml:space="preserve"> que está exercida a pena de morte social, fazendo morrer — tanto socialmente quanto fisicamente, porém este artigo tem a função de analisar a morte social implícita no que antecede, dura e precede cárcere — </w:t>
      </w:r>
      <w:r w:rsidR="00744457" w:rsidRPr="00744457">
        <w:rPr>
          <w:bCs/>
          <w:sz w:val="24"/>
          <w:szCs w:val="24"/>
        </w:rPr>
        <w:t xml:space="preserve">.seu valor pessoal e posição social que </w:t>
      </w:r>
      <w:r w:rsidR="00744457" w:rsidRPr="00744457">
        <w:rPr>
          <w:sz w:val="24"/>
          <w:szCs w:val="24"/>
        </w:rPr>
        <w:t>constituem e afirmam</w:t>
      </w:r>
      <w:r w:rsidR="00744457" w:rsidRPr="00744457">
        <w:rPr>
          <w:bCs/>
          <w:sz w:val="24"/>
          <w:szCs w:val="24"/>
        </w:rPr>
        <w:t xml:space="preserve"> sua cidadania e humanidade.</w:t>
      </w:r>
    </w:p>
    <w:p w14:paraId="385DA328" w14:textId="00D525C6" w:rsidR="00FE7FCF" w:rsidRPr="00FE7FCF" w:rsidRDefault="006A7132" w:rsidP="00EC2B40">
      <w:pPr>
        <w:spacing w:line="360" w:lineRule="auto"/>
        <w:ind w:firstLine="720"/>
        <w:jc w:val="both"/>
        <w:rPr>
          <w:bCs/>
          <w:sz w:val="24"/>
          <w:szCs w:val="24"/>
        </w:rPr>
      </w:pPr>
      <w:r>
        <w:rPr>
          <w:bCs/>
          <w:sz w:val="24"/>
          <w:szCs w:val="24"/>
        </w:rPr>
        <w:t xml:space="preserve"> </w:t>
      </w:r>
    </w:p>
    <w:p w14:paraId="7D8CA654" w14:textId="0475A26F" w:rsidR="00C1275C" w:rsidRPr="00856420" w:rsidRDefault="00C1275C" w:rsidP="00856420">
      <w:pPr>
        <w:pStyle w:val="PargrafodaLista"/>
        <w:numPr>
          <w:ilvl w:val="0"/>
          <w:numId w:val="5"/>
        </w:numPr>
        <w:spacing w:line="360" w:lineRule="auto"/>
        <w:jc w:val="both"/>
        <w:rPr>
          <w:bCs/>
          <w:sz w:val="24"/>
          <w:szCs w:val="24"/>
        </w:rPr>
      </w:pPr>
      <w:r w:rsidRPr="00856420">
        <w:rPr>
          <w:b/>
          <w:bCs/>
          <w:sz w:val="24"/>
          <w:szCs w:val="24"/>
        </w:rPr>
        <w:t>O SISTEMA PRISIONAL SUSTENTADO PELA LÓGICA PUNITIVISTA</w:t>
      </w:r>
      <w:r w:rsidRPr="00856420">
        <w:rPr>
          <w:sz w:val="24"/>
          <w:szCs w:val="24"/>
        </w:rPr>
        <w:t> </w:t>
      </w:r>
    </w:p>
    <w:p w14:paraId="003CCEE8" w14:textId="77777777" w:rsidR="000666BE" w:rsidRDefault="00C1275C" w:rsidP="00786D45">
      <w:pPr>
        <w:spacing w:line="360" w:lineRule="auto"/>
        <w:ind w:firstLine="720"/>
        <w:jc w:val="both"/>
        <w:rPr>
          <w:sz w:val="24"/>
          <w:szCs w:val="24"/>
        </w:rPr>
      </w:pPr>
      <w:r w:rsidRPr="00C1275C">
        <w:rPr>
          <w:sz w:val="24"/>
          <w:szCs w:val="24"/>
        </w:rPr>
        <w:t>Uma vez estabelecidas as raízes históricas e estruturais que direcionam os corpos negros para o sistema de justiça criminal, como discutido anteriormente, torna-se imperativo analisar a engrenagem ideológica que legitima e impulsiona a própria existência e expansão do cárcere. A sociedade contemporânea, em especial a brasileira, vive sob o império do punitivismo. A lógica punitivista pode ser definida como a concepção de que a resposta para a maioria dos problemas sociais reside na aplicação de uma sanção penal, no encarceramento e na repressão. Sob essa ótica, o sistema prisional emerge não como uma medida de último recurso, mas como a principal ferramenta do Estado para compelir o grupo social neste artigo apresentado, onde o sistema prisional se separa de qualquer proposito ressocializador. </w:t>
      </w:r>
    </w:p>
    <w:p w14:paraId="62A47E2D" w14:textId="00EFD402" w:rsidR="004F776F" w:rsidRDefault="00FC41B1" w:rsidP="00786D45">
      <w:pPr>
        <w:spacing w:line="360" w:lineRule="auto"/>
        <w:ind w:firstLine="720"/>
        <w:jc w:val="both"/>
        <w:rPr>
          <w:sz w:val="24"/>
          <w:szCs w:val="24"/>
        </w:rPr>
      </w:pPr>
      <w:r>
        <w:rPr>
          <w:sz w:val="24"/>
          <w:szCs w:val="24"/>
        </w:rPr>
        <w:lastRenderedPageBreak/>
        <w:t>Surge do livro “Vigiar e Punir”</w:t>
      </w:r>
      <w:r w:rsidR="00D63F46">
        <w:rPr>
          <w:sz w:val="24"/>
          <w:szCs w:val="24"/>
        </w:rPr>
        <w:t xml:space="preserve"> (FOUCAULT, 1987)</w:t>
      </w:r>
      <w:r>
        <w:rPr>
          <w:sz w:val="24"/>
          <w:szCs w:val="24"/>
        </w:rPr>
        <w:t xml:space="preserve"> u</w:t>
      </w:r>
      <w:r w:rsidR="00D63F46">
        <w:rPr>
          <w:sz w:val="24"/>
          <w:szCs w:val="24"/>
        </w:rPr>
        <w:t xml:space="preserve">ma clareza para a </w:t>
      </w:r>
      <w:r w:rsidR="00356271">
        <w:rPr>
          <w:sz w:val="24"/>
          <w:szCs w:val="24"/>
        </w:rPr>
        <w:t>análise</w:t>
      </w:r>
      <w:r w:rsidR="00D63F46">
        <w:rPr>
          <w:sz w:val="24"/>
          <w:szCs w:val="24"/>
        </w:rPr>
        <w:t xml:space="preserve"> aqui produzida</w:t>
      </w:r>
      <w:r w:rsidR="009652D6">
        <w:rPr>
          <w:sz w:val="24"/>
          <w:szCs w:val="24"/>
        </w:rPr>
        <w:t xml:space="preserve">, </w:t>
      </w:r>
      <w:r w:rsidR="00356271">
        <w:rPr>
          <w:sz w:val="24"/>
          <w:szCs w:val="24"/>
        </w:rPr>
        <w:t xml:space="preserve">orientando a reflexão para determinados conceitos </w:t>
      </w:r>
      <w:r w:rsidR="00BC6BC4">
        <w:rPr>
          <w:sz w:val="24"/>
          <w:szCs w:val="24"/>
        </w:rPr>
        <w:t xml:space="preserve">elucidativos que abrange o sistema prisional </w:t>
      </w:r>
      <w:r w:rsidR="00E567BF">
        <w:rPr>
          <w:sz w:val="24"/>
          <w:szCs w:val="24"/>
        </w:rPr>
        <w:t xml:space="preserve"> </w:t>
      </w:r>
      <w:r w:rsidR="00D16712">
        <w:rPr>
          <w:sz w:val="24"/>
          <w:szCs w:val="24"/>
        </w:rPr>
        <w:t xml:space="preserve">de ordem punitivista </w:t>
      </w:r>
      <w:r w:rsidR="00BC6BC4">
        <w:rPr>
          <w:sz w:val="24"/>
          <w:szCs w:val="24"/>
        </w:rPr>
        <w:t>e a pena de morte social nel</w:t>
      </w:r>
      <w:r w:rsidR="00190DF3">
        <w:rPr>
          <w:sz w:val="24"/>
          <w:szCs w:val="24"/>
        </w:rPr>
        <w:t xml:space="preserve">e instigado; </w:t>
      </w:r>
      <w:r w:rsidR="008B34DE">
        <w:rPr>
          <w:sz w:val="24"/>
          <w:szCs w:val="24"/>
        </w:rPr>
        <w:t xml:space="preserve">a punição moderna não mais se </w:t>
      </w:r>
      <w:r w:rsidR="00440A7E">
        <w:rPr>
          <w:sz w:val="24"/>
          <w:szCs w:val="24"/>
        </w:rPr>
        <w:t xml:space="preserve">insere em punição dolosa de caráter suplício, </w:t>
      </w:r>
      <w:r w:rsidR="0001051D">
        <w:rPr>
          <w:sz w:val="24"/>
          <w:szCs w:val="24"/>
        </w:rPr>
        <w:t xml:space="preserve">nesta nova organização </w:t>
      </w:r>
      <w:r w:rsidR="00A604E2">
        <w:rPr>
          <w:sz w:val="24"/>
          <w:szCs w:val="24"/>
        </w:rPr>
        <w:t xml:space="preserve">o que se pune é a alma, </w:t>
      </w:r>
      <w:r w:rsidR="00140520">
        <w:rPr>
          <w:sz w:val="24"/>
          <w:szCs w:val="24"/>
        </w:rPr>
        <w:t>o castigo irá corroe</w:t>
      </w:r>
      <w:r w:rsidR="008A70B7">
        <w:rPr>
          <w:sz w:val="24"/>
          <w:szCs w:val="24"/>
        </w:rPr>
        <w:t>r</w:t>
      </w:r>
      <w:r w:rsidR="00140520">
        <w:rPr>
          <w:sz w:val="24"/>
          <w:szCs w:val="24"/>
        </w:rPr>
        <w:t xml:space="preserve"> tudo aquilo que redige um ser social</w:t>
      </w:r>
      <w:r w:rsidR="007E3A32">
        <w:rPr>
          <w:sz w:val="24"/>
          <w:szCs w:val="24"/>
        </w:rPr>
        <w:t xml:space="preserve"> e o faz cidadão</w:t>
      </w:r>
      <w:r w:rsidR="00E83F90">
        <w:rPr>
          <w:sz w:val="24"/>
          <w:szCs w:val="24"/>
        </w:rPr>
        <w:t xml:space="preserve">, é o que, despretensiosamente, ocorre nesta instituição colocada sobre análise </w:t>
      </w:r>
      <w:r w:rsidR="008A70B7">
        <w:rPr>
          <w:sz w:val="24"/>
          <w:szCs w:val="24"/>
        </w:rPr>
        <w:t xml:space="preserve">neste artigo, o sistema carcerário tem em sua função “invisível” </w:t>
      </w:r>
      <w:r w:rsidR="00127B2B">
        <w:rPr>
          <w:sz w:val="24"/>
          <w:szCs w:val="24"/>
        </w:rPr>
        <w:t>desobstruir do caminho do preso tudo o que o leva a uma plena cidadania</w:t>
      </w:r>
      <w:r w:rsidR="00713E15">
        <w:rPr>
          <w:sz w:val="24"/>
          <w:szCs w:val="24"/>
        </w:rPr>
        <w:t>, é esta punição que sobre o egresso</w:t>
      </w:r>
      <w:r w:rsidR="00573824">
        <w:rPr>
          <w:sz w:val="24"/>
          <w:szCs w:val="24"/>
        </w:rPr>
        <w:t xml:space="preserve"> se faz</w:t>
      </w:r>
      <w:r w:rsidR="00713E15">
        <w:rPr>
          <w:sz w:val="24"/>
          <w:szCs w:val="24"/>
        </w:rPr>
        <w:t xml:space="preserve"> exercida</w:t>
      </w:r>
      <w:r w:rsidR="00230FF9">
        <w:rPr>
          <w:sz w:val="24"/>
          <w:szCs w:val="24"/>
        </w:rPr>
        <w:t xml:space="preserve"> </w:t>
      </w:r>
      <w:r w:rsidR="002F3C44">
        <w:rPr>
          <w:sz w:val="24"/>
          <w:szCs w:val="24"/>
        </w:rPr>
        <w:t>para sua devida correção de valores</w:t>
      </w:r>
      <w:r w:rsidR="00C15825">
        <w:rPr>
          <w:sz w:val="24"/>
          <w:szCs w:val="24"/>
        </w:rPr>
        <w:t xml:space="preserve"> e moral, na lógica do conservadorismo sutil. </w:t>
      </w:r>
    </w:p>
    <w:p w14:paraId="09528690" w14:textId="0D1AF81F" w:rsidR="00B05DA8" w:rsidRDefault="001D0680" w:rsidP="00786D45">
      <w:pPr>
        <w:spacing w:line="360" w:lineRule="auto"/>
        <w:ind w:firstLine="720"/>
        <w:jc w:val="both"/>
        <w:rPr>
          <w:sz w:val="24"/>
          <w:szCs w:val="24"/>
        </w:rPr>
      </w:pPr>
      <w:r>
        <w:rPr>
          <w:sz w:val="24"/>
          <w:szCs w:val="24"/>
        </w:rPr>
        <w:t xml:space="preserve">A índole judiciária se ofusca do julgamento </w:t>
      </w:r>
      <w:r w:rsidR="00C42269">
        <w:rPr>
          <w:sz w:val="24"/>
          <w:szCs w:val="24"/>
        </w:rPr>
        <w:t xml:space="preserve">objetivo do ato e se aprofunda em </w:t>
      </w:r>
      <w:r w:rsidR="002122BF">
        <w:rPr>
          <w:sz w:val="24"/>
          <w:szCs w:val="24"/>
        </w:rPr>
        <w:t>sentenciar corpos que existem em suas diversas resistências e lutas</w:t>
      </w:r>
      <w:r w:rsidR="00FB7945">
        <w:rPr>
          <w:sz w:val="24"/>
          <w:szCs w:val="24"/>
        </w:rPr>
        <w:t xml:space="preserve">, </w:t>
      </w:r>
      <w:r w:rsidR="00F6386B">
        <w:rPr>
          <w:sz w:val="24"/>
          <w:szCs w:val="24"/>
        </w:rPr>
        <w:t xml:space="preserve">nos levando a refletir novamente sobre o quão </w:t>
      </w:r>
      <w:r w:rsidR="005A6BD7" w:rsidRPr="005A6BD7">
        <w:rPr>
          <w:sz w:val="24"/>
          <w:szCs w:val="24"/>
        </w:rPr>
        <w:t>a justiça brasileira não se preocupa em punir crimes, mas fará o que for possível para punir corpos sentenciados à pena de morte social. São corpos que, com suas subjetividades e suas diversas resistências históricas, representam um desafio à ordem, e sobre os quais o sistema busca impor, com ainda mais força, as técnicas de produção da docilidade descritas por Foucault</w:t>
      </w:r>
      <w:r w:rsidR="00344258">
        <w:rPr>
          <w:sz w:val="24"/>
          <w:szCs w:val="24"/>
        </w:rPr>
        <w:t xml:space="preserve">. </w:t>
      </w:r>
      <w:r w:rsidR="00366BCB">
        <w:rPr>
          <w:sz w:val="24"/>
          <w:szCs w:val="24"/>
        </w:rPr>
        <w:t xml:space="preserve"> </w:t>
      </w:r>
    </w:p>
    <w:p w14:paraId="08C70B20" w14:textId="33495E86" w:rsidR="0016619D" w:rsidRDefault="0016619D" w:rsidP="008E5AF3">
      <w:pPr>
        <w:spacing w:line="240" w:lineRule="auto"/>
        <w:ind w:left="2268"/>
        <w:jc w:val="both"/>
        <w:rPr>
          <w:sz w:val="20"/>
          <w:szCs w:val="20"/>
        </w:rPr>
      </w:pPr>
      <w:r w:rsidRPr="0016619D">
        <w:rPr>
          <w:sz w:val="20"/>
          <w:szCs w:val="20"/>
        </w:rPr>
        <w:t>"Mas hoje, se é verdade que se julga o crime, julga-se também o criminoso, o “</w:t>
      </w:r>
      <w:proofErr w:type="spellStart"/>
      <w:r w:rsidRPr="0016619D">
        <w:rPr>
          <w:sz w:val="20"/>
          <w:szCs w:val="20"/>
        </w:rPr>
        <w:t>delinqüente</w:t>
      </w:r>
      <w:proofErr w:type="spellEnd"/>
      <w:r w:rsidRPr="0016619D">
        <w:rPr>
          <w:sz w:val="20"/>
          <w:szCs w:val="20"/>
        </w:rPr>
        <w:t xml:space="preserve">”. Ele é o objeto de um saber. [...] O </w:t>
      </w:r>
      <w:proofErr w:type="spellStart"/>
      <w:r w:rsidRPr="0016619D">
        <w:rPr>
          <w:sz w:val="20"/>
          <w:szCs w:val="20"/>
        </w:rPr>
        <w:t>delinqüente</w:t>
      </w:r>
      <w:proofErr w:type="spellEnd"/>
      <w:r w:rsidRPr="0016619D">
        <w:rPr>
          <w:sz w:val="20"/>
          <w:szCs w:val="20"/>
        </w:rPr>
        <w:t xml:space="preserve"> se distingue do infrator pelo fato de que não é tanto seu ato que o caracteriza, mas sua vida na medida em que ela é pertinente para o ato. A biografia precede o crime e o explica. [...] O </w:t>
      </w:r>
      <w:proofErr w:type="spellStart"/>
      <w:r w:rsidRPr="0016619D">
        <w:rPr>
          <w:sz w:val="20"/>
          <w:szCs w:val="20"/>
        </w:rPr>
        <w:t>delinqüente</w:t>
      </w:r>
      <w:proofErr w:type="spellEnd"/>
      <w:r w:rsidRPr="0016619D">
        <w:rPr>
          <w:sz w:val="20"/>
          <w:szCs w:val="20"/>
        </w:rPr>
        <w:t xml:space="preserve"> também é o correlativo de um tipo de controle que é o poder de punir, não se aplica de modo algum sobre o ato, mas sobre a vida do indivíduo."</w:t>
      </w:r>
      <w:r w:rsidR="008E5AF3">
        <w:rPr>
          <w:sz w:val="20"/>
          <w:szCs w:val="20"/>
        </w:rPr>
        <w:t xml:space="preserve"> (FOUCAULT, 1987, p. </w:t>
      </w:r>
      <w:r w:rsidR="00FC79E8">
        <w:rPr>
          <w:sz w:val="20"/>
          <w:szCs w:val="20"/>
        </w:rPr>
        <w:t>14)</w:t>
      </w:r>
    </w:p>
    <w:p w14:paraId="67AEA38B" w14:textId="77777777" w:rsidR="00FC79E8" w:rsidRPr="0016619D" w:rsidRDefault="00FC79E8" w:rsidP="008E5AF3">
      <w:pPr>
        <w:spacing w:line="240" w:lineRule="auto"/>
        <w:ind w:left="2268"/>
        <w:jc w:val="both"/>
        <w:rPr>
          <w:sz w:val="20"/>
          <w:szCs w:val="20"/>
        </w:rPr>
      </w:pPr>
    </w:p>
    <w:p w14:paraId="718EBF1B" w14:textId="0DFA03AF" w:rsidR="003E5993" w:rsidRDefault="003E0593" w:rsidP="00786D45">
      <w:pPr>
        <w:spacing w:line="360" w:lineRule="auto"/>
        <w:ind w:firstLine="720"/>
        <w:jc w:val="both"/>
        <w:rPr>
          <w:sz w:val="24"/>
          <w:szCs w:val="24"/>
        </w:rPr>
      </w:pPr>
      <w:r>
        <w:rPr>
          <w:sz w:val="24"/>
          <w:szCs w:val="24"/>
        </w:rPr>
        <w:t xml:space="preserve">Diante disso, a pena de morte social é incisiva </w:t>
      </w:r>
      <w:r w:rsidR="00542830">
        <w:rPr>
          <w:sz w:val="24"/>
          <w:szCs w:val="24"/>
        </w:rPr>
        <w:t xml:space="preserve">sob vidas que nem ao menos tiveram a oportunidade de decidir por si próprios os caminhos de sua jornada social, esta sentença corrobora </w:t>
      </w:r>
      <w:r w:rsidR="008E1B40">
        <w:rPr>
          <w:sz w:val="24"/>
          <w:szCs w:val="24"/>
        </w:rPr>
        <w:t xml:space="preserve">quaisquer chances </w:t>
      </w:r>
      <w:r w:rsidR="0020558B">
        <w:rPr>
          <w:sz w:val="24"/>
          <w:szCs w:val="24"/>
        </w:rPr>
        <w:t>de ressocialização e reestruturação no sistema trabalhista, aniquila novamente ao abismo</w:t>
      </w:r>
      <w:r w:rsidR="001A566C">
        <w:rPr>
          <w:sz w:val="24"/>
          <w:szCs w:val="24"/>
        </w:rPr>
        <w:t xml:space="preserve"> aquele que já estava designado para tal. </w:t>
      </w:r>
    </w:p>
    <w:p w14:paraId="7B78868B" w14:textId="5BCB264B" w:rsidR="001A566C" w:rsidRDefault="001A566C" w:rsidP="004F776F">
      <w:pPr>
        <w:spacing w:line="360" w:lineRule="auto"/>
        <w:jc w:val="both"/>
        <w:rPr>
          <w:sz w:val="24"/>
          <w:szCs w:val="24"/>
        </w:rPr>
      </w:pPr>
    </w:p>
    <w:p w14:paraId="3E695A6C" w14:textId="3D5F1BCC" w:rsidR="003A29B4" w:rsidRDefault="00441ED3" w:rsidP="003A29B4">
      <w:pPr>
        <w:pStyle w:val="PargrafodaLista"/>
        <w:numPr>
          <w:ilvl w:val="0"/>
          <w:numId w:val="5"/>
        </w:numPr>
        <w:spacing w:line="360" w:lineRule="auto"/>
        <w:jc w:val="both"/>
        <w:rPr>
          <w:b/>
          <w:bCs/>
          <w:sz w:val="24"/>
          <w:szCs w:val="24"/>
        </w:rPr>
      </w:pPr>
      <w:r w:rsidRPr="003A29B4">
        <w:rPr>
          <w:b/>
          <w:bCs/>
          <w:sz w:val="24"/>
          <w:szCs w:val="24"/>
        </w:rPr>
        <w:t>A PENA DE MORTE SOCIA</w:t>
      </w:r>
      <w:r w:rsidR="005A630B" w:rsidRPr="003A29B4">
        <w:rPr>
          <w:b/>
          <w:bCs/>
          <w:sz w:val="24"/>
          <w:szCs w:val="24"/>
        </w:rPr>
        <w:t>L EM S</w:t>
      </w:r>
      <w:r w:rsidR="003A29B4" w:rsidRPr="003A29B4">
        <w:rPr>
          <w:b/>
          <w:bCs/>
          <w:sz w:val="24"/>
          <w:szCs w:val="24"/>
        </w:rPr>
        <w:t xml:space="preserve">UA </w:t>
      </w:r>
      <w:r w:rsidR="0026272D">
        <w:rPr>
          <w:b/>
          <w:bCs/>
          <w:sz w:val="24"/>
          <w:szCs w:val="24"/>
        </w:rPr>
        <w:t xml:space="preserve">DEFINIÇÃO E FINALIDADE </w:t>
      </w:r>
    </w:p>
    <w:p w14:paraId="27FCA915" w14:textId="77777777" w:rsidR="00E76059" w:rsidRPr="00E76059" w:rsidRDefault="00E76059" w:rsidP="00E76059">
      <w:pPr>
        <w:spacing w:line="360" w:lineRule="auto"/>
        <w:ind w:firstLine="1219"/>
        <w:jc w:val="both"/>
        <w:rPr>
          <w:sz w:val="24"/>
          <w:szCs w:val="24"/>
        </w:rPr>
      </w:pPr>
      <w:r w:rsidRPr="00E76059">
        <w:rPr>
          <w:sz w:val="24"/>
          <w:szCs w:val="24"/>
        </w:rPr>
        <w:lastRenderedPageBreak/>
        <w:t>Em prática, o sistema prisional a todo momento se reitera como uma instituição que exerce seu poderio além de seus muros e arames, ele consegue se desvincular de um perfil amedrontador para se vincular a outras instituições de maneira perspicaz para agir em semelhantes operações, sob esse viés punitivista a pena de morte social opera no que redige o indivíduo, sua vida periférica, a abordagem policial sem motivo aparente, o sistema de educação meritocrata e por diante (FOUCAULT, 1987).</w:t>
      </w:r>
    </w:p>
    <w:p w14:paraId="2135CCC0" w14:textId="4972F094" w:rsidR="00E76059" w:rsidRPr="00EC0FB9" w:rsidRDefault="00E76059" w:rsidP="00EC0FB9">
      <w:pPr>
        <w:spacing w:line="360" w:lineRule="auto"/>
        <w:ind w:firstLine="862"/>
        <w:jc w:val="both"/>
        <w:rPr>
          <w:sz w:val="24"/>
          <w:szCs w:val="24"/>
        </w:rPr>
      </w:pPr>
      <w:r w:rsidRPr="00E76059">
        <w:rPr>
          <w:sz w:val="24"/>
          <w:szCs w:val="24"/>
        </w:rPr>
        <w:t xml:space="preserve">A pessoa </w:t>
      </w:r>
      <w:proofErr w:type="spellStart"/>
      <w:r w:rsidRPr="00E76059">
        <w:rPr>
          <w:sz w:val="24"/>
          <w:szCs w:val="24"/>
        </w:rPr>
        <w:t>racializada</w:t>
      </w:r>
      <w:proofErr w:type="spellEnd"/>
      <w:r w:rsidRPr="00E76059">
        <w:rPr>
          <w:sz w:val="24"/>
          <w:szCs w:val="24"/>
        </w:rPr>
        <w:t xml:space="preserve"> já é um produto morto para a comum sociedade em sentido de gozo mutuo de seus determinados direitos; após isso, aquele que se insere na criminalidade já está mais do que condenado a morte social, o que já estava em sentido fúnebre passa a se decompor, apodrecer em mazelas sociais determinantes e inoperância governamental, o corpo fede discriminação e ódio pelo sistema, e desse odor não se forma nada além de um indivíduo cercado de condições </w:t>
      </w:r>
      <w:proofErr w:type="spellStart"/>
      <w:r w:rsidRPr="00E76059">
        <w:rPr>
          <w:sz w:val="24"/>
          <w:szCs w:val="24"/>
        </w:rPr>
        <w:t>psicotraum</w:t>
      </w:r>
      <w:r>
        <w:rPr>
          <w:sz w:val="24"/>
          <w:szCs w:val="24"/>
        </w:rPr>
        <w:t>á</w:t>
      </w:r>
      <w:r w:rsidRPr="00E76059">
        <w:rPr>
          <w:sz w:val="24"/>
          <w:szCs w:val="24"/>
        </w:rPr>
        <w:t>ticas</w:t>
      </w:r>
      <w:proofErr w:type="spellEnd"/>
      <w:r w:rsidRPr="00E76059">
        <w:rPr>
          <w:sz w:val="24"/>
          <w:szCs w:val="24"/>
        </w:rPr>
        <w:t xml:space="preserve">, uma família corroída pela incerteza de bem estar e uma sociedade cada vez mais amontoada em quartos que não passam de 10 metros quadrados, na esperança de que aquele cubículo reintegre um corpo desencarnado desde que saiu do ventre de sua mãe, desde que se reconheceu como fruto de uma dominação racial e passou a enxergar resistência em sua cor, mas teve que seguir em sobrevivência conforme o Estado capitalista estipula. </w:t>
      </w:r>
    </w:p>
    <w:p w14:paraId="3CAD8DFE" w14:textId="3532DD77" w:rsidR="00C73B64" w:rsidRDefault="00E76059" w:rsidP="00C73B64">
      <w:pPr>
        <w:spacing w:line="360" w:lineRule="auto"/>
        <w:ind w:firstLine="720"/>
        <w:jc w:val="both"/>
        <w:rPr>
          <w:bCs/>
        </w:rPr>
      </w:pPr>
      <w:r>
        <w:rPr>
          <w:bCs/>
          <w:sz w:val="24"/>
          <w:szCs w:val="24"/>
        </w:rPr>
        <w:t>A pena de morte social já está pré-definida quando se marginaliza um determinado grupo social minoritário</w:t>
      </w:r>
      <w:r w:rsidR="007221AD">
        <w:rPr>
          <w:bCs/>
          <w:sz w:val="24"/>
          <w:szCs w:val="24"/>
        </w:rPr>
        <w:t xml:space="preserve">, na qual </w:t>
      </w:r>
      <w:r w:rsidR="00DE49B4" w:rsidRPr="00DE49B4">
        <w:rPr>
          <w:bCs/>
          <w:sz w:val="24"/>
          <w:szCs w:val="24"/>
        </w:rPr>
        <w:t>ela se define no fim de um processo que vai do racismo ao crime, da prisão à soltura</w:t>
      </w:r>
      <w:r>
        <w:rPr>
          <w:bCs/>
          <w:sz w:val="24"/>
          <w:szCs w:val="24"/>
        </w:rPr>
        <w:t xml:space="preserve">, onde aquele que antes era invisibilizado agora se torna excluído socialmente, não é como se ninguém estivesse enxergando o </w:t>
      </w:r>
      <w:proofErr w:type="spellStart"/>
      <w:r>
        <w:rPr>
          <w:bCs/>
          <w:sz w:val="24"/>
          <w:szCs w:val="24"/>
        </w:rPr>
        <w:t>ex-detento</w:t>
      </w:r>
      <w:proofErr w:type="spellEnd"/>
      <w:r>
        <w:rPr>
          <w:bCs/>
          <w:sz w:val="24"/>
          <w:szCs w:val="24"/>
        </w:rPr>
        <w:t xml:space="preserve">, mas é justamente por enxerga-lo (como um </w:t>
      </w:r>
      <w:proofErr w:type="spellStart"/>
      <w:r>
        <w:rPr>
          <w:bCs/>
          <w:sz w:val="24"/>
          <w:szCs w:val="24"/>
        </w:rPr>
        <w:t>ex-detento</w:t>
      </w:r>
      <w:proofErr w:type="spellEnd"/>
      <w:r>
        <w:rPr>
          <w:bCs/>
          <w:sz w:val="24"/>
          <w:szCs w:val="24"/>
        </w:rPr>
        <w:t>) que ele se torna passível de descriminação e segregação contínua, o documento que o reconhece não será somente a Certidão de Nascimento ou o Registro Geral, mas se torna o seu antecedente criminal.</w:t>
      </w:r>
      <w:r w:rsidR="0053406A">
        <w:rPr>
          <w:bCs/>
          <w:sz w:val="24"/>
          <w:szCs w:val="24"/>
        </w:rPr>
        <w:t xml:space="preserve"> O</w:t>
      </w:r>
      <w:r w:rsidR="00A84301" w:rsidRPr="0053406A">
        <w:rPr>
          <w:bCs/>
          <w:sz w:val="24"/>
          <w:szCs w:val="24"/>
        </w:rPr>
        <w:t xml:space="preserve"> isolamento social, na prática, garante a reincidência criminal, provando o caráter utópico e falho do discurso de ressocialização. Um estudo aprofundado do Grupo de Assessoria, Planejamento e Pesquisa Econômica (GAPPE), </w:t>
      </w:r>
      <w:r w:rsidR="00A84301" w:rsidRPr="0053406A">
        <w:rPr>
          <w:bCs/>
          <w:sz w:val="24"/>
          <w:szCs w:val="24"/>
        </w:rPr>
        <w:lastRenderedPageBreak/>
        <w:t xml:space="preserve">em parceria com o Departamento Penitenciário Nacional, revela a dimensão desse ciclo: </w:t>
      </w:r>
      <w:r w:rsidR="00A84301" w:rsidRPr="0053406A">
        <w:rPr>
          <w:sz w:val="24"/>
          <w:szCs w:val="24"/>
        </w:rPr>
        <w:t>42,5%</w:t>
      </w:r>
      <w:r w:rsidR="00A84301" w:rsidRPr="0053406A">
        <w:rPr>
          <w:bCs/>
          <w:sz w:val="24"/>
          <w:szCs w:val="24"/>
        </w:rPr>
        <w:t xml:space="preserve"> dos egressos</w:t>
      </w:r>
      <w:r w:rsidR="00A84301" w:rsidRPr="00A84301">
        <w:rPr>
          <w:bCs/>
          <w:sz w:val="24"/>
          <w:szCs w:val="24"/>
        </w:rPr>
        <w:t xml:space="preserve"> do sistema prisional voltam a ser presos (GAPPE, 2022).</w:t>
      </w:r>
      <w:r w:rsidR="00986B51">
        <w:rPr>
          <w:bCs/>
        </w:rPr>
        <w:t xml:space="preserve"> </w:t>
      </w:r>
      <w:r w:rsidR="00C73B64" w:rsidRPr="00C73B64">
        <w:rPr>
          <w:bCs/>
          <w:sz w:val="24"/>
          <w:szCs w:val="24"/>
        </w:rPr>
        <w:t xml:space="preserve">O mais devastador, no entanto, é a velocidade com que a 'pena ideológica' da sociedade empurra o indivíduo de volta ao cárcere. Os dados mostram que a maior parte das reincidências ocorre logo no primeiro ano, e que, dentre estes, quase </w:t>
      </w:r>
      <w:r w:rsidR="00C73B64" w:rsidRPr="00C73B64">
        <w:rPr>
          <w:sz w:val="24"/>
          <w:szCs w:val="24"/>
        </w:rPr>
        <w:t>30% acontecem já no primeiro mês</w:t>
      </w:r>
      <w:r w:rsidR="00C73B64" w:rsidRPr="00C73B64">
        <w:rPr>
          <w:bCs/>
          <w:sz w:val="24"/>
          <w:szCs w:val="24"/>
        </w:rPr>
        <w:t xml:space="preserve"> após a soltura</w:t>
      </w:r>
      <w:r w:rsidR="00C73B64">
        <w:rPr>
          <w:bCs/>
          <w:sz w:val="24"/>
          <w:szCs w:val="24"/>
        </w:rPr>
        <w:t>.</w:t>
      </w:r>
    </w:p>
    <w:p w14:paraId="2FB4D4B8" w14:textId="1C31C70A" w:rsidR="00E76059" w:rsidRPr="00986B51" w:rsidRDefault="00A91717" w:rsidP="00C73B64">
      <w:pPr>
        <w:spacing w:line="360" w:lineRule="auto"/>
        <w:ind w:firstLine="720"/>
        <w:jc w:val="both"/>
        <w:rPr>
          <w:bCs/>
        </w:rPr>
      </w:pPr>
      <w:r>
        <w:rPr>
          <w:bCs/>
          <w:sz w:val="24"/>
          <w:szCs w:val="24"/>
        </w:rPr>
        <w:t>Q</w:t>
      </w:r>
      <w:r w:rsidR="009C1952">
        <w:rPr>
          <w:bCs/>
          <w:sz w:val="24"/>
          <w:szCs w:val="24"/>
        </w:rPr>
        <w:t xml:space="preserve">uando cruzamos </w:t>
      </w:r>
      <w:r>
        <w:rPr>
          <w:bCs/>
          <w:sz w:val="24"/>
          <w:szCs w:val="24"/>
        </w:rPr>
        <w:t>os</w:t>
      </w:r>
      <w:r w:rsidR="009C1952">
        <w:rPr>
          <w:bCs/>
          <w:sz w:val="24"/>
          <w:szCs w:val="24"/>
        </w:rPr>
        <w:t xml:space="preserve"> dados</w:t>
      </w:r>
      <w:r>
        <w:rPr>
          <w:bCs/>
          <w:sz w:val="24"/>
          <w:szCs w:val="24"/>
        </w:rPr>
        <w:t xml:space="preserve"> do GAPPE</w:t>
      </w:r>
      <w:r w:rsidR="009C1952">
        <w:rPr>
          <w:bCs/>
          <w:sz w:val="24"/>
          <w:szCs w:val="24"/>
        </w:rPr>
        <w:t xml:space="preserve"> com os </w:t>
      </w:r>
      <w:r w:rsidR="009C1952" w:rsidRPr="009C1952">
        <w:rPr>
          <w:bCs/>
          <w:sz w:val="24"/>
          <w:szCs w:val="24"/>
        </w:rPr>
        <w:t>dados do SISDEPEN</w:t>
      </w:r>
      <w:r w:rsidR="009C1952">
        <w:rPr>
          <w:bCs/>
          <w:sz w:val="24"/>
          <w:szCs w:val="24"/>
        </w:rPr>
        <w:t xml:space="preserve">, previamente </w:t>
      </w:r>
      <w:r w:rsidR="00D27060">
        <w:rPr>
          <w:bCs/>
          <w:sz w:val="24"/>
          <w:szCs w:val="24"/>
        </w:rPr>
        <w:t xml:space="preserve">mencionados, </w:t>
      </w:r>
      <w:r w:rsidR="00D27060" w:rsidRPr="001606C1">
        <w:rPr>
          <w:bCs/>
          <w:sz w:val="24"/>
          <w:szCs w:val="24"/>
        </w:rPr>
        <w:t>fica</w:t>
      </w:r>
      <w:r w:rsidR="001606C1" w:rsidRPr="001606C1">
        <w:rPr>
          <w:bCs/>
          <w:sz w:val="24"/>
          <w:szCs w:val="24"/>
        </w:rPr>
        <w:t xml:space="preserve"> claro que o encarceramento em massa de corpos negros </w:t>
      </w:r>
      <w:r w:rsidR="001606C1" w:rsidRPr="001A1244">
        <w:rPr>
          <w:sz w:val="24"/>
          <w:szCs w:val="24"/>
        </w:rPr>
        <w:t>não é um fracasso do sistema</w:t>
      </w:r>
      <w:r w:rsidR="001606C1" w:rsidRPr="001606C1">
        <w:rPr>
          <w:bCs/>
          <w:sz w:val="24"/>
          <w:szCs w:val="24"/>
        </w:rPr>
        <w:t>, mas seu </w:t>
      </w:r>
      <w:r w:rsidR="001606C1" w:rsidRPr="001A1244">
        <w:rPr>
          <w:sz w:val="24"/>
          <w:szCs w:val="24"/>
        </w:rPr>
        <w:t>sucesso perverso</w:t>
      </w:r>
      <w:r w:rsidR="001606C1" w:rsidRPr="001606C1">
        <w:rPr>
          <w:bCs/>
          <w:sz w:val="24"/>
          <w:szCs w:val="24"/>
        </w:rPr>
        <w:t>. A prisão, ao concentrar 85% de sua população em celas superlotadas</w:t>
      </w:r>
      <w:r w:rsidR="001A1244">
        <w:rPr>
          <w:bCs/>
          <w:sz w:val="24"/>
          <w:szCs w:val="24"/>
        </w:rPr>
        <w:t>, majoritariamente negras,</w:t>
      </w:r>
      <w:r w:rsidR="001606C1" w:rsidRPr="001606C1">
        <w:rPr>
          <w:bCs/>
          <w:sz w:val="24"/>
          <w:szCs w:val="24"/>
        </w:rPr>
        <w:t xml:space="preserve"> está </w:t>
      </w:r>
      <w:r w:rsidR="001606C1" w:rsidRPr="001A1244">
        <w:rPr>
          <w:sz w:val="24"/>
          <w:szCs w:val="24"/>
        </w:rPr>
        <w:t>cumprindo sua função histórica</w:t>
      </w:r>
      <w:r w:rsidR="001606C1" w:rsidRPr="001606C1">
        <w:rPr>
          <w:b/>
          <w:bCs/>
          <w:sz w:val="24"/>
          <w:szCs w:val="24"/>
        </w:rPr>
        <w:t xml:space="preserve"> </w:t>
      </w:r>
      <w:r w:rsidR="001606C1" w:rsidRPr="001A1244">
        <w:rPr>
          <w:sz w:val="24"/>
          <w:szCs w:val="24"/>
        </w:rPr>
        <w:t>de exclusão.</w:t>
      </w:r>
      <w:r w:rsidR="001606C1" w:rsidRPr="001606C1">
        <w:rPr>
          <w:bCs/>
          <w:sz w:val="24"/>
          <w:szCs w:val="24"/>
        </w:rPr>
        <w:t xml:space="preserve"> A pena de morte social, portanto, começa </w:t>
      </w:r>
      <w:r w:rsidR="001606C1" w:rsidRPr="001A1244">
        <w:rPr>
          <w:sz w:val="24"/>
          <w:szCs w:val="24"/>
        </w:rPr>
        <w:t>antes mesmo da sentença judicial</w:t>
      </w:r>
      <w:r w:rsidR="001606C1" w:rsidRPr="001606C1">
        <w:rPr>
          <w:bCs/>
          <w:sz w:val="24"/>
          <w:szCs w:val="24"/>
        </w:rPr>
        <w:t>, na precarização que empurra o negro para o crime, e se consolida </w:t>
      </w:r>
      <w:r w:rsidR="001606C1" w:rsidRPr="001A1244">
        <w:rPr>
          <w:sz w:val="24"/>
          <w:szCs w:val="24"/>
        </w:rPr>
        <w:t>após a prisão</w:t>
      </w:r>
      <w:r w:rsidR="001606C1" w:rsidRPr="001606C1">
        <w:rPr>
          <w:bCs/>
          <w:sz w:val="24"/>
          <w:szCs w:val="24"/>
        </w:rPr>
        <w:t>, quando o egresso é tratado como um </w:t>
      </w:r>
      <w:r w:rsidR="001606C1" w:rsidRPr="001A1244">
        <w:rPr>
          <w:sz w:val="24"/>
          <w:szCs w:val="24"/>
        </w:rPr>
        <w:t>morto-vivo social.</w:t>
      </w:r>
    </w:p>
    <w:p w14:paraId="4AD485DA" w14:textId="018F92BA" w:rsidR="00CD0845" w:rsidRDefault="00CD0845" w:rsidP="00CD0845">
      <w:pPr>
        <w:pStyle w:val="PargrafodaLista"/>
        <w:numPr>
          <w:ilvl w:val="0"/>
          <w:numId w:val="5"/>
        </w:numPr>
        <w:spacing w:line="360" w:lineRule="auto"/>
        <w:jc w:val="both"/>
        <w:rPr>
          <w:b/>
          <w:sz w:val="24"/>
          <w:szCs w:val="24"/>
        </w:rPr>
      </w:pPr>
      <w:r w:rsidRPr="00CD0845">
        <w:rPr>
          <w:b/>
          <w:sz w:val="24"/>
          <w:szCs w:val="24"/>
        </w:rPr>
        <w:t xml:space="preserve">CONCLUSÃO </w:t>
      </w:r>
    </w:p>
    <w:p w14:paraId="31605584" w14:textId="28B1E799" w:rsidR="00DA2DA3" w:rsidRDefault="00DA2DA3" w:rsidP="00DA2DA3">
      <w:pPr>
        <w:spacing w:line="360" w:lineRule="auto"/>
        <w:ind w:firstLine="720"/>
        <w:jc w:val="both"/>
        <w:rPr>
          <w:bCs/>
          <w:sz w:val="24"/>
          <w:szCs w:val="24"/>
        </w:rPr>
      </w:pPr>
      <w:r w:rsidRPr="00DA2DA3">
        <w:rPr>
          <w:bCs/>
          <w:sz w:val="24"/>
          <w:szCs w:val="24"/>
        </w:rPr>
        <w:t>Este artigo demonstrou que o sistema prisional brasileiro opera como um dispositivo de morte social para corpos negros, atualizando as lógicas coloniais de controle racial. Longe de ser uma instituição ressocializadora, o cárcere revela-se como</w:t>
      </w:r>
      <w:r w:rsidR="003D0BF1">
        <w:rPr>
          <w:bCs/>
          <w:sz w:val="24"/>
          <w:szCs w:val="24"/>
        </w:rPr>
        <w:t xml:space="preserve"> a senzala contemporânea, </w:t>
      </w:r>
      <w:r w:rsidRPr="00DA2DA3">
        <w:rPr>
          <w:bCs/>
          <w:sz w:val="24"/>
          <w:szCs w:val="24"/>
        </w:rPr>
        <w:t xml:space="preserve">onde a punição não se encerra nas grades, mas ecoa como uma condenação perpétua à marginalização. </w:t>
      </w:r>
    </w:p>
    <w:p w14:paraId="24D23607" w14:textId="3CB02003" w:rsidR="004705CB" w:rsidRDefault="004705CB" w:rsidP="00DA2DA3">
      <w:pPr>
        <w:spacing w:line="360" w:lineRule="auto"/>
        <w:ind w:firstLine="720"/>
        <w:jc w:val="both"/>
        <w:rPr>
          <w:bCs/>
          <w:sz w:val="24"/>
          <w:szCs w:val="24"/>
        </w:rPr>
      </w:pPr>
      <w:r w:rsidRPr="004705CB">
        <w:rPr>
          <w:bCs/>
          <w:sz w:val="24"/>
          <w:szCs w:val="24"/>
        </w:rPr>
        <w:t>Enquanto o Brasil se recusar a enfrentar seu passado escravocrata inscrito nas instituições, a prisão seguirá sendo um ritual de sacrifício onde corpos negros são oferecidos em nome da 'segurança pública'. A pena de morte social não é um efeito colateral: é o objetivo silencioso de um Estado que, mesmo após a abolição formal da escravidão, mantém seu pacto branco de exclusão. Romper com essa lógica exige mais que reformas prisionais</w:t>
      </w:r>
      <w:r w:rsidR="00944825">
        <w:rPr>
          <w:bCs/>
          <w:sz w:val="24"/>
          <w:szCs w:val="24"/>
        </w:rPr>
        <w:t xml:space="preserve">, </w:t>
      </w:r>
      <w:r w:rsidRPr="004705CB">
        <w:rPr>
          <w:bCs/>
          <w:sz w:val="24"/>
          <w:szCs w:val="24"/>
        </w:rPr>
        <w:t>demanda descolonizar as estruturas de poder e abolir a própria ideia de que alguns corpos são matáveis (</w:t>
      </w:r>
      <w:proofErr w:type="spellStart"/>
      <w:r w:rsidRPr="004705CB">
        <w:rPr>
          <w:bCs/>
          <w:sz w:val="24"/>
          <w:szCs w:val="24"/>
        </w:rPr>
        <w:t>Mbembe</w:t>
      </w:r>
      <w:proofErr w:type="spellEnd"/>
      <w:r w:rsidRPr="004705CB">
        <w:rPr>
          <w:bCs/>
          <w:sz w:val="24"/>
          <w:szCs w:val="24"/>
        </w:rPr>
        <w:t>, 2003). O cárcere, como hoje existe, é a prova de que o Brasil ainda assina suas sentenças com tinta invisível, mas indelével.</w:t>
      </w:r>
    </w:p>
    <w:p w14:paraId="56D3B406" w14:textId="12AE2A2A" w:rsidR="002E3AD3" w:rsidRDefault="002E3AD3" w:rsidP="00302F76">
      <w:pPr>
        <w:spacing w:line="360" w:lineRule="auto"/>
        <w:ind w:firstLine="720"/>
        <w:jc w:val="both"/>
        <w:rPr>
          <w:bCs/>
          <w:sz w:val="24"/>
          <w:szCs w:val="24"/>
        </w:rPr>
      </w:pPr>
      <w:r w:rsidRPr="002E3AD3">
        <w:rPr>
          <w:bCs/>
          <w:sz w:val="24"/>
          <w:szCs w:val="24"/>
        </w:rPr>
        <w:lastRenderedPageBreak/>
        <w:t xml:space="preserve">Para o Serviço Social, isso exige uma práxis que resista à lógica punitivista, atuando na garantia de direitos e no fortalecimento dos vínculos familiares de presos e egressos para enfrentar a anulação do sujeito. Ciente da insuficiência da ação localizada, é imperativo que a categoria se articule politicamente com os movimentos sociais, como o Movimento Negro, na luta pelo desencarceramento, </w:t>
      </w:r>
      <w:r w:rsidRPr="002E3AD3">
        <w:rPr>
          <w:sz w:val="24"/>
          <w:szCs w:val="24"/>
        </w:rPr>
        <w:t>pela construção de políticas públicas de trabalho, moradia e saúde para a população egressa,</w:t>
      </w:r>
      <w:r w:rsidRPr="002E3AD3">
        <w:rPr>
          <w:bCs/>
          <w:sz w:val="24"/>
          <w:szCs w:val="24"/>
        </w:rPr>
        <w:t xml:space="preserve"> e pela conscientização da sociedade sobre a real função do sistema penal, visando uma sociedade sem exclusão e hierarquização de existências.</w:t>
      </w:r>
    </w:p>
    <w:p w14:paraId="31824A5B" w14:textId="79193358" w:rsidR="00302F76" w:rsidRPr="00302F76" w:rsidRDefault="00302F76" w:rsidP="00302F76">
      <w:pPr>
        <w:spacing w:line="360" w:lineRule="auto"/>
        <w:ind w:firstLine="720"/>
        <w:jc w:val="both"/>
        <w:rPr>
          <w:bCs/>
          <w:sz w:val="24"/>
          <w:szCs w:val="24"/>
        </w:rPr>
      </w:pPr>
      <w:r w:rsidRPr="00302F76">
        <w:rPr>
          <w:bCs/>
          <w:sz w:val="24"/>
          <w:szCs w:val="24"/>
        </w:rPr>
        <w:t xml:space="preserve">Este artigo não se encerra aqui, mas ecoa como um chamado à desobediência epistemológica: urge romper com as narrativas que naturalizam o encarceramento em massa como "solução" e denunciar o mito da democracia racial brasileira. As estatísticas não mentem: elas gritam. </w:t>
      </w:r>
      <w:r w:rsidR="00AF277A" w:rsidRPr="00AF277A">
        <w:rPr>
          <w:bCs/>
          <w:sz w:val="24"/>
          <w:szCs w:val="24"/>
        </w:rPr>
        <w:t xml:space="preserve">Como afirma </w:t>
      </w:r>
      <w:r w:rsidR="00A654C5">
        <w:rPr>
          <w:bCs/>
          <w:sz w:val="24"/>
          <w:szCs w:val="24"/>
        </w:rPr>
        <w:t xml:space="preserve">o autor Ailton </w:t>
      </w:r>
      <w:r w:rsidR="00AF277A" w:rsidRPr="00AF277A">
        <w:rPr>
          <w:bCs/>
          <w:sz w:val="24"/>
          <w:szCs w:val="24"/>
        </w:rPr>
        <w:t xml:space="preserve">Krenak (2019), </w:t>
      </w:r>
      <w:r w:rsidR="00190394">
        <w:rPr>
          <w:bCs/>
          <w:sz w:val="24"/>
          <w:szCs w:val="24"/>
        </w:rPr>
        <w:t>“</w:t>
      </w:r>
      <w:r w:rsidR="00AF277A" w:rsidRPr="00AF277A">
        <w:rPr>
          <w:bCs/>
          <w:sz w:val="24"/>
          <w:szCs w:val="24"/>
        </w:rPr>
        <w:t>a colonialidade inventou a ideia de que alguns corpos precisam ser domesticados, mas nossa resistência é ser selva</w:t>
      </w:r>
      <w:r w:rsidR="00190394">
        <w:rPr>
          <w:bCs/>
          <w:sz w:val="24"/>
          <w:szCs w:val="24"/>
        </w:rPr>
        <w:t>”</w:t>
      </w:r>
      <w:r w:rsidR="00A654C5">
        <w:rPr>
          <w:bCs/>
          <w:sz w:val="24"/>
          <w:szCs w:val="24"/>
        </w:rPr>
        <w:t xml:space="preserve">. </w:t>
      </w:r>
    </w:p>
    <w:p w14:paraId="37336870" w14:textId="5A95F958" w:rsidR="004F776F" w:rsidRDefault="004F776F" w:rsidP="00B8101E">
      <w:pPr>
        <w:spacing w:line="360" w:lineRule="auto"/>
        <w:jc w:val="both"/>
        <w:rPr>
          <w:b/>
          <w:sz w:val="24"/>
          <w:szCs w:val="24"/>
        </w:rPr>
      </w:pPr>
    </w:p>
    <w:p w14:paraId="4A3A5FBD" w14:textId="2C76D09C" w:rsidR="004F776F" w:rsidRPr="00CB33DD" w:rsidRDefault="004F776F" w:rsidP="004F776F">
      <w:pPr>
        <w:spacing w:line="360" w:lineRule="auto"/>
        <w:jc w:val="center"/>
        <w:rPr>
          <w:bCs/>
          <w:sz w:val="24"/>
          <w:szCs w:val="24"/>
        </w:rPr>
      </w:pPr>
      <w:r>
        <w:rPr>
          <w:b/>
          <w:sz w:val="24"/>
          <w:szCs w:val="24"/>
        </w:rPr>
        <w:t xml:space="preserve">REFERÊNCIAS </w:t>
      </w:r>
    </w:p>
    <w:p w14:paraId="3C77A157" w14:textId="77777777" w:rsidR="004F776F" w:rsidRDefault="004F776F" w:rsidP="004F776F">
      <w:pPr>
        <w:spacing w:line="240" w:lineRule="auto"/>
        <w:jc w:val="both"/>
        <w:rPr>
          <w:sz w:val="24"/>
          <w:szCs w:val="24"/>
        </w:rPr>
      </w:pPr>
    </w:p>
    <w:p w14:paraId="32E2AB0A" w14:textId="2513915D" w:rsidR="005C4655" w:rsidRDefault="005F126F" w:rsidP="004F776F">
      <w:pPr>
        <w:spacing w:line="240" w:lineRule="auto"/>
        <w:jc w:val="both"/>
        <w:rPr>
          <w:sz w:val="24"/>
          <w:szCs w:val="24"/>
        </w:rPr>
      </w:pPr>
      <w:r w:rsidRPr="005F126F">
        <w:rPr>
          <w:sz w:val="24"/>
          <w:szCs w:val="24"/>
        </w:rPr>
        <w:t xml:space="preserve">ALMEIDA, Silvio Luiz de. </w:t>
      </w:r>
      <w:r w:rsidRPr="00435C70">
        <w:rPr>
          <w:b/>
          <w:bCs/>
          <w:sz w:val="24"/>
          <w:szCs w:val="24"/>
        </w:rPr>
        <w:t xml:space="preserve">Racismo </w:t>
      </w:r>
      <w:r w:rsidR="00D23C44">
        <w:rPr>
          <w:b/>
          <w:bCs/>
          <w:sz w:val="24"/>
          <w:szCs w:val="24"/>
        </w:rPr>
        <w:t xml:space="preserve">estrutural. </w:t>
      </w:r>
      <w:r w:rsidRPr="00D23C44">
        <w:rPr>
          <w:sz w:val="24"/>
          <w:szCs w:val="24"/>
        </w:rPr>
        <w:t>São</w:t>
      </w:r>
      <w:r w:rsidRPr="005F126F">
        <w:rPr>
          <w:sz w:val="24"/>
          <w:szCs w:val="24"/>
        </w:rPr>
        <w:t xml:space="preserve"> Paulo: Sueli Carneiro; Pólen, 2019. (Coleção Feminismos Plurais).</w:t>
      </w:r>
    </w:p>
    <w:p w14:paraId="49A698C5" w14:textId="77777777" w:rsidR="004208A0" w:rsidRDefault="004208A0" w:rsidP="004F776F">
      <w:pPr>
        <w:spacing w:line="240" w:lineRule="auto"/>
        <w:jc w:val="both"/>
        <w:rPr>
          <w:sz w:val="24"/>
          <w:szCs w:val="24"/>
        </w:rPr>
      </w:pPr>
    </w:p>
    <w:p w14:paraId="54236B4B" w14:textId="25152791" w:rsidR="00EF2F4D" w:rsidRDefault="004208A0" w:rsidP="004F776F">
      <w:pPr>
        <w:spacing w:line="240" w:lineRule="auto"/>
        <w:jc w:val="both"/>
        <w:rPr>
          <w:sz w:val="24"/>
          <w:szCs w:val="24"/>
        </w:rPr>
      </w:pPr>
      <w:r w:rsidRPr="004208A0">
        <w:rPr>
          <w:sz w:val="24"/>
          <w:szCs w:val="24"/>
        </w:rPr>
        <w:t xml:space="preserve">BRASIL. [Constituição (1988)]. </w:t>
      </w:r>
      <w:r w:rsidRPr="004208A0">
        <w:rPr>
          <w:b/>
          <w:bCs/>
          <w:sz w:val="24"/>
          <w:szCs w:val="24"/>
        </w:rPr>
        <w:t>Constituição da República Federativa do Brasil de 1988</w:t>
      </w:r>
      <w:r w:rsidRPr="004208A0">
        <w:rPr>
          <w:sz w:val="24"/>
          <w:szCs w:val="24"/>
        </w:rPr>
        <w:t xml:space="preserve">. Brasília, DF: Presidência da República. Disponível em: </w:t>
      </w:r>
      <w:hyperlink r:id="rId11" w:tgtFrame="_blank" w:history="1">
        <w:r w:rsidRPr="004208A0">
          <w:rPr>
            <w:rStyle w:val="Hyperlink"/>
            <w:sz w:val="24"/>
            <w:szCs w:val="24"/>
          </w:rPr>
          <w:t>http://www.planalto.gov.br/ccivil_03/constituicao/constituicao.htm</w:t>
        </w:r>
      </w:hyperlink>
      <w:r w:rsidRPr="004208A0">
        <w:rPr>
          <w:sz w:val="24"/>
          <w:szCs w:val="24"/>
        </w:rPr>
        <w:t xml:space="preserve">. Acesso em: </w:t>
      </w:r>
      <w:r w:rsidR="00110B02">
        <w:rPr>
          <w:sz w:val="24"/>
          <w:szCs w:val="24"/>
        </w:rPr>
        <w:t>1</w:t>
      </w:r>
      <w:r w:rsidRPr="004208A0">
        <w:rPr>
          <w:sz w:val="24"/>
          <w:szCs w:val="24"/>
        </w:rPr>
        <w:t xml:space="preserve"> jul. 2025.</w:t>
      </w:r>
      <w:r w:rsidR="00EF2F4D">
        <w:rPr>
          <w:sz w:val="24"/>
          <w:szCs w:val="24"/>
        </w:rPr>
        <w:t xml:space="preserve"> </w:t>
      </w:r>
    </w:p>
    <w:p w14:paraId="4C7BA970" w14:textId="77777777" w:rsidR="0015078E" w:rsidRDefault="0015078E" w:rsidP="004F776F">
      <w:pPr>
        <w:spacing w:line="240" w:lineRule="auto"/>
        <w:jc w:val="both"/>
        <w:rPr>
          <w:sz w:val="24"/>
          <w:szCs w:val="24"/>
        </w:rPr>
      </w:pPr>
    </w:p>
    <w:p w14:paraId="117B767F" w14:textId="79150E84" w:rsidR="00EF2F4D" w:rsidRDefault="0015078E" w:rsidP="004F776F">
      <w:pPr>
        <w:spacing w:line="240" w:lineRule="auto"/>
        <w:jc w:val="both"/>
        <w:rPr>
          <w:sz w:val="24"/>
          <w:szCs w:val="24"/>
        </w:rPr>
      </w:pPr>
      <w:r w:rsidRPr="0015078E">
        <w:rPr>
          <w:sz w:val="24"/>
          <w:szCs w:val="24"/>
        </w:rPr>
        <w:t xml:space="preserve">BRASIL. Ministério da Justiça e Segurança Pública. Secretaria Nacional de Políticas Penais. </w:t>
      </w:r>
      <w:r w:rsidRPr="0015078E">
        <w:rPr>
          <w:b/>
          <w:bCs/>
          <w:sz w:val="24"/>
          <w:szCs w:val="24"/>
        </w:rPr>
        <w:t>Relatório de Informações Penais: 17º Ciclo SISDEPEN - 2º semestre de 2024</w:t>
      </w:r>
      <w:r w:rsidRPr="0015078E">
        <w:rPr>
          <w:sz w:val="24"/>
          <w:szCs w:val="24"/>
        </w:rPr>
        <w:t xml:space="preserve">. Brasília, DF: SENAPPEN, 2025. Disponível em: </w:t>
      </w:r>
      <w:hyperlink r:id="rId12" w:tgtFrame="_blank" w:history="1">
        <w:r w:rsidRPr="0015078E">
          <w:rPr>
            <w:rStyle w:val="Hyperlink"/>
            <w:sz w:val="24"/>
            <w:szCs w:val="24"/>
          </w:rPr>
          <w:t>https://www.gov.br/senappen/pt-br/assuntos/noticias/depen-divulga-relatorio-previo-de-estudo-inedito-sobre-reincidencia-criminal-no-brasil/reincidencia-criminal-no-brasil-2022.pdf/@@download/file</w:t>
        </w:r>
      </w:hyperlink>
      <w:r w:rsidRPr="0015078E">
        <w:rPr>
          <w:sz w:val="24"/>
          <w:szCs w:val="24"/>
        </w:rPr>
        <w:t xml:space="preserve">. Acesso em: </w:t>
      </w:r>
      <w:r>
        <w:rPr>
          <w:sz w:val="24"/>
          <w:szCs w:val="24"/>
        </w:rPr>
        <w:t>10</w:t>
      </w:r>
      <w:r w:rsidRPr="0015078E">
        <w:rPr>
          <w:sz w:val="24"/>
          <w:szCs w:val="24"/>
        </w:rPr>
        <w:t xml:space="preserve"> ju</w:t>
      </w:r>
      <w:r>
        <w:rPr>
          <w:sz w:val="24"/>
          <w:szCs w:val="24"/>
        </w:rPr>
        <w:t>n</w:t>
      </w:r>
      <w:r w:rsidRPr="0015078E">
        <w:rPr>
          <w:sz w:val="24"/>
          <w:szCs w:val="24"/>
        </w:rPr>
        <w:t>. 2025.</w:t>
      </w:r>
    </w:p>
    <w:p w14:paraId="2CB79B60" w14:textId="77777777" w:rsidR="0015078E" w:rsidRDefault="0015078E" w:rsidP="004F776F">
      <w:pPr>
        <w:spacing w:line="240" w:lineRule="auto"/>
        <w:jc w:val="both"/>
        <w:rPr>
          <w:sz w:val="24"/>
          <w:szCs w:val="24"/>
        </w:rPr>
      </w:pPr>
    </w:p>
    <w:p w14:paraId="3BC59CA7" w14:textId="13BA81E3" w:rsidR="00314E69" w:rsidRDefault="00EF2F4D" w:rsidP="004F776F">
      <w:pPr>
        <w:spacing w:line="240" w:lineRule="auto"/>
        <w:jc w:val="both"/>
        <w:rPr>
          <w:sz w:val="24"/>
          <w:szCs w:val="24"/>
        </w:rPr>
      </w:pPr>
      <w:r w:rsidRPr="00EF2F4D">
        <w:rPr>
          <w:sz w:val="24"/>
          <w:szCs w:val="24"/>
        </w:rPr>
        <w:t xml:space="preserve">CARRILO, </w:t>
      </w:r>
      <w:proofErr w:type="spellStart"/>
      <w:r w:rsidRPr="00EF2F4D">
        <w:rPr>
          <w:sz w:val="24"/>
          <w:szCs w:val="24"/>
        </w:rPr>
        <w:t>Bladimir</w:t>
      </w:r>
      <w:proofErr w:type="spellEnd"/>
      <w:r w:rsidRPr="00EF2F4D">
        <w:rPr>
          <w:sz w:val="24"/>
          <w:szCs w:val="24"/>
        </w:rPr>
        <w:t xml:space="preserve"> et al. </w:t>
      </w:r>
      <w:r w:rsidRPr="00EF2F4D">
        <w:rPr>
          <w:b/>
          <w:bCs/>
          <w:sz w:val="24"/>
          <w:szCs w:val="24"/>
        </w:rPr>
        <w:t>Reincidência Criminal no Brasil</w:t>
      </w:r>
      <w:r w:rsidRPr="00EF2F4D">
        <w:rPr>
          <w:sz w:val="24"/>
          <w:szCs w:val="24"/>
        </w:rPr>
        <w:t xml:space="preserve">. Grupo de Avaliação de Políticas Públicas e Econômicas (GAPPE/UFPE); Departamento Penitenciário Nacional (Depen), 2022. Disponível em: </w:t>
      </w:r>
      <w:hyperlink r:id="rId13" w:tgtFrame="_blank" w:history="1">
        <w:r w:rsidRPr="00EF2F4D">
          <w:rPr>
            <w:rStyle w:val="Hyperlink"/>
            <w:sz w:val="24"/>
            <w:szCs w:val="24"/>
          </w:rPr>
          <w:t>https://www.gov.br/senappen/pt-</w:t>
        </w:r>
        <w:r w:rsidRPr="00EF2F4D">
          <w:rPr>
            <w:rStyle w:val="Hyperlink"/>
            <w:sz w:val="24"/>
            <w:szCs w:val="24"/>
          </w:rPr>
          <w:lastRenderedPageBreak/>
          <w:t>br/assuntos/noticias/depen-divulga-relatorio-previo-de-estudo-inedito-sobre-reincidencia-criminal-no-brasil/reincidencia-criminal-no-brasil-2022.pdf/view</w:t>
        </w:r>
      </w:hyperlink>
      <w:r w:rsidRPr="00EF2F4D">
        <w:rPr>
          <w:sz w:val="24"/>
          <w:szCs w:val="24"/>
        </w:rPr>
        <w:t>. Acesso em: 0</w:t>
      </w:r>
      <w:r>
        <w:rPr>
          <w:sz w:val="24"/>
          <w:szCs w:val="24"/>
        </w:rPr>
        <w:t>1</w:t>
      </w:r>
      <w:r w:rsidRPr="00EF2F4D">
        <w:rPr>
          <w:sz w:val="24"/>
          <w:szCs w:val="24"/>
        </w:rPr>
        <w:t xml:space="preserve"> jul. 2025.</w:t>
      </w:r>
    </w:p>
    <w:p w14:paraId="6684267D" w14:textId="77777777" w:rsidR="007C77B1" w:rsidRDefault="007C77B1" w:rsidP="004F776F">
      <w:pPr>
        <w:spacing w:line="240" w:lineRule="auto"/>
        <w:jc w:val="both"/>
        <w:rPr>
          <w:sz w:val="24"/>
          <w:szCs w:val="24"/>
        </w:rPr>
      </w:pPr>
    </w:p>
    <w:p w14:paraId="62C88D1F" w14:textId="16AA33B2" w:rsidR="00576E16" w:rsidRDefault="006F0E6C" w:rsidP="004F776F">
      <w:pPr>
        <w:spacing w:line="240" w:lineRule="auto"/>
        <w:jc w:val="both"/>
        <w:rPr>
          <w:sz w:val="24"/>
          <w:szCs w:val="24"/>
        </w:rPr>
      </w:pPr>
      <w:r w:rsidRPr="006F0E6C">
        <w:rPr>
          <w:sz w:val="24"/>
          <w:szCs w:val="24"/>
        </w:rPr>
        <w:t xml:space="preserve">DURKHEIM, Émile. </w:t>
      </w:r>
      <w:r w:rsidRPr="001E3AD6">
        <w:rPr>
          <w:b/>
          <w:bCs/>
          <w:sz w:val="24"/>
          <w:szCs w:val="24"/>
        </w:rPr>
        <w:t>Da divisão do trabalho social</w:t>
      </w:r>
      <w:r w:rsidRPr="006F0E6C">
        <w:rPr>
          <w:sz w:val="24"/>
          <w:szCs w:val="24"/>
        </w:rPr>
        <w:t>. 2. ed. São Paulo: Martins Fontes, 1999.</w:t>
      </w:r>
    </w:p>
    <w:p w14:paraId="0C88C334" w14:textId="77777777" w:rsidR="0086325C" w:rsidRDefault="0086325C" w:rsidP="0086325C">
      <w:pPr>
        <w:spacing w:line="240" w:lineRule="auto"/>
        <w:jc w:val="both"/>
        <w:rPr>
          <w:sz w:val="24"/>
          <w:szCs w:val="24"/>
        </w:rPr>
      </w:pPr>
    </w:p>
    <w:p w14:paraId="3632FBF4" w14:textId="4DBDFC66" w:rsidR="0086325C" w:rsidRDefault="0086325C" w:rsidP="0086325C">
      <w:pPr>
        <w:spacing w:line="240" w:lineRule="auto"/>
        <w:jc w:val="both"/>
        <w:rPr>
          <w:sz w:val="24"/>
          <w:szCs w:val="24"/>
        </w:rPr>
      </w:pPr>
      <w:r w:rsidRPr="00C36A61">
        <w:rPr>
          <w:sz w:val="24"/>
          <w:szCs w:val="24"/>
        </w:rPr>
        <w:t xml:space="preserve">FOUCAULT, Michel. </w:t>
      </w:r>
      <w:r w:rsidRPr="00C36A61">
        <w:rPr>
          <w:b/>
          <w:bCs/>
          <w:sz w:val="24"/>
          <w:szCs w:val="24"/>
        </w:rPr>
        <w:t xml:space="preserve">Em defesa da sociedade: curso no </w:t>
      </w:r>
      <w:proofErr w:type="spellStart"/>
      <w:r w:rsidRPr="00C36A61">
        <w:rPr>
          <w:b/>
          <w:bCs/>
          <w:sz w:val="24"/>
          <w:szCs w:val="24"/>
        </w:rPr>
        <w:t>Collège</w:t>
      </w:r>
      <w:proofErr w:type="spellEnd"/>
      <w:r w:rsidRPr="00C36A61">
        <w:rPr>
          <w:b/>
          <w:bCs/>
          <w:sz w:val="24"/>
          <w:szCs w:val="24"/>
        </w:rPr>
        <w:t xml:space="preserve"> de France (1975-1976)</w:t>
      </w:r>
      <w:r w:rsidRPr="00C36A61">
        <w:rPr>
          <w:sz w:val="24"/>
          <w:szCs w:val="24"/>
        </w:rPr>
        <w:t>. São Paulo: Martins Fontes, 1999.</w:t>
      </w:r>
    </w:p>
    <w:p w14:paraId="79496086" w14:textId="5E245C14" w:rsidR="004F776F" w:rsidRDefault="004F776F" w:rsidP="004F776F">
      <w:pPr>
        <w:spacing w:line="240" w:lineRule="auto"/>
        <w:rPr>
          <w:sz w:val="24"/>
          <w:szCs w:val="24"/>
        </w:rPr>
      </w:pPr>
    </w:p>
    <w:p w14:paraId="3252EBA7" w14:textId="3ACCFFFD" w:rsidR="004F776F" w:rsidRDefault="00F767E7" w:rsidP="004F776F">
      <w:pPr>
        <w:spacing w:line="240" w:lineRule="auto"/>
        <w:jc w:val="both"/>
        <w:rPr>
          <w:sz w:val="24"/>
          <w:szCs w:val="24"/>
        </w:rPr>
      </w:pPr>
      <w:r w:rsidRPr="00F767E7">
        <w:rPr>
          <w:sz w:val="24"/>
          <w:szCs w:val="24"/>
        </w:rPr>
        <w:t xml:space="preserve">FOUCAULT, Michel. </w:t>
      </w:r>
      <w:r w:rsidRPr="00F767E7">
        <w:rPr>
          <w:b/>
          <w:bCs/>
          <w:sz w:val="24"/>
          <w:szCs w:val="24"/>
        </w:rPr>
        <w:t>Vigiar e punir: nascimento da prisão</w:t>
      </w:r>
      <w:r w:rsidRPr="00F767E7">
        <w:rPr>
          <w:sz w:val="24"/>
          <w:szCs w:val="24"/>
        </w:rPr>
        <w:t>. Tradução de Raquel Ramalhete. Petrópolis: Vozes, 1987.</w:t>
      </w:r>
    </w:p>
    <w:p w14:paraId="42B58192" w14:textId="77777777" w:rsidR="00603899" w:rsidRDefault="00603899" w:rsidP="004F776F">
      <w:pPr>
        <w:spacing w:line="240" w:lineRule="auto"/>
        <w:jc w:val="both"/>
        <w:rPr>
          <w:sz w:val="24"/>
          <w:szCs w:val="24"/>
        </w:rPr>
      </w:pPr>
    </w:p>
    <w:p w14:paraId="5F9EF441" w14:textId="51C9B870" w:rsidR="004F776F" w:rsidRDefault="00603899" w:rsidP="004F776F">
      <w:pPr>
        <w:spacing w:line="240" w:lineRule="auto"/>
        <w:jc w:val="both"/>
        <w:rPr>
          <w:sz w:val="24"/>
          <w:szCs w:val="24"/>
        </w:rPr>
      </w:pPr>
      <w:r>
        <w:rPr>
          <w:sz w:val="24"/>
          <w:szCs w:val="24"/>
        </w:rPr>
        <w:t>K</w:t>
      </w:r>
      <w:r w:rsidRPr="00603899">
        <w:rPr>
          <w:sz w:val="24"/>
          <w:szCs w:val="24"/>
        </w:rPr>
        <w:t xml:space="preserve">RENAK, Ailton. </w:t>
      </w:r>
      <w:r w:rsidRPr="00603899">
        <w:rPr>
          <w:b/>
          <w:bCs/>
          <w:sz w:val="24"/>
          <w:szCs w:val="24"/>
        </w:rPr>
        <w:t>Ideias para adiar o fim do mundo</w:t>
      </w:r>
      <w:r w:rsidRPr="00603899">
        <w:rPr>
          <w:sz w:val="24"/>
          <w:szCs w:val="24"/>
        </w:rPr>
        <w:t>. São Paulo: Companhia das Letras, 2019.</w:t>
      </w:r>
    </w:p>
    <w:p w14:paraId="2DAC0764" w14:textId="77777777" w:rsidR="0052431D" w:rsidRDefault="0052431D" w:rsidP="004F776F">
      <w:pPr>
        <w:spacing w:line="240" w:lineRule="auto"/>
        <w:jc w:val="both"/>
        <w:rPr>
          <w:sz w:val="24"/>
          <w:szCs w:val="24"/>
        </w:rPr>
      </w:pPr>
    </w:p>
    <w:p w14:paraId="004AE522" w14:textId="47EBB194" w:rsidR="0052431D" w:rsidRDefault="0052431D" w:rsidP="004F776F">
      <w:pPr>
        <w:spacing w:line="240" w:lineRule="auto"/>
        <w:jc w:val="both"/>
        <w:rPr>
          <w:sz w:val="24"/>
          <w:szCs w:val="24"/>
        </w:rPr>
      </w:pPr>
      <w:r w:rsidRPr="0052431D">
        <w:rPr>
          <w:sz w:val="24"/>
          <w:szCs w:val="24"/>
        </w:rPr>
        <w:t xml:space="preserve">MBEMBE, Achille. </w:t>
      </w:r>
      <w:r w:rsidRPr="0052431D">
        <w:rPr>
          <w:b/>
          <w:bCs/>
          <w:sz w:val="24"/>
          <w:szCs w:val="24"/>
        </w:rPr>
        <w:t>Necropolítica</w:t>
      </w:r>
      <w:r w:rsidRPr="0052431D">
        <w:rPr>
          <w:sz w:val="24"/>
          <w:szCs w:val="24"/>
        </w:rPr>
        <w:t>. Tradução de Renata Santini. 3. ed. São Paulo: n-1 edições, 2018.</w:t>
      </w:r>
    </w:p>
    <w:p w14:paraId="700D39BA" w14:textId="77777777" w:rsidR="004F776F" w:rsidRDefault="004F776F" w:rsidP="004F776F">
      <w:pPr>
        <w:spacing w:line="240" w:lineRule="auto"/>
        <w:jc w:val="both"/>
        <w:rPr>
          <w:sz w:val="24"/>
          <w:szCs w:val="24"/>
        </w:rPr>
      </w:pPr>
    </w:p>
    <w:p w14:paraId="09978827" w14:textId="77777777" w:rsidR="00A343D0" w:rsidRDefault="00A343D0" w:rsidP="004F776F">
      <w:pPr>
        <w:spacing w:line="240" w:lineRule="auto"/>
        <w:jc w:val="both"/>
        <w:rPr>
          <w:sz w:val="24"/>
          <w:szCs w:val="24"/>
        </w:rPr>
      </w:pPr>
      <w:r w:rsidRPr="00A343D0">
        <w:rPr>
          <w:sz w:val="24"/>
          <w:szCs w:val="24"/>
        </w:rPr>
        <w:t xml:space="preserve">MOURA, Clóvis. ESCRAVISMO, COLONIALISMO, IMPERIALISMO E RACISMO. </w:t>
      </w:r>
      <w:r w:rsidRPr="00A343D0">
        <w:rPr>
          <w:b/>
          <w:bCs/>
          <w:sz w:val="24"/>
          <w:szCs w:val="24"/>
        </w:rPr>
        <w:t>Afro-Ásia</w:t>
      </w:r>
      <w:r w:rsidRPr="00A343D0">
        <w:rPr>
          <w:sz w:val="24"/>
          <w:szCs w:val="24"/>
        </w:rPr>
        <w:t>, n. 14, p. 124-137, 1983.</w:t>
      </w:r>
    </w:p>
    <w:p w14:paraId="091C2C17" w14:textId="77777777" w:rsidR="00A343D0" w:rsidRDefault="00A343D0" w:rsidP="004F776F">
      <w:pPr>
        <w:spacing w:line="240" w:lineRule="auto"/>
        <w:jc w:val="both"/>
        <w:rPr>
          <w:sz w:val="24"/>
          <w:szCs w:val="24"/>
        </w:rPr>
      </w:pPr>
    </w:p>
    <w:p w14:paraId="0F4DA4FB" w14:textId="4D85B269" w:rsidR="00A343D0" w:rsidRDefault="00A343D0" w:rsidP="004F776F">
      <w:pPr>
        <w:spacing w:line="240" w:lineRule="auto"/>
        <w:jc w:val="both"/>
        <w:rPr>
          <w:sz w:val="24"/>
          <w:szCs w:val="24"/>
        </w:rPr>
      </w:pPr>
      <w:r w:rsidRPr="00A343D0">
        <w:rPr>
          <w:sz w:val="24"/>
          <w:szCs w:val="24"/>
        </w:rPr>
        <w:t xml:space="preserve">QUIJANO, Aníbal. Colonialidade do poder, eurocentrismo e América Latina. In: LANDER, Edgardo (org.). </w:t>
      </w:r>
      <w:r w:rsidRPr="00A343D0">
        <w:rPr>
          <w:b/>
          <w:bCs/>
          <w:sz w:val="24"/>
          <w:szCs w:val="24"/>
        </w:rPr>
        <w:t>A colonialidade do saber: eurocentrismo e ciências sociais. Perspectivas latino-americanas</w:t>
      </w:r>
      <w:r w:rsidRPr="00A343D0">
        <w:rPr>
          <w:sz w:val="24"/>
          <w:szCs w:val="24"/>
        </w:rPr>
        <w:t>. Buenos Aires: CLACSO, 2005. p. 107-125.</w:t>
      </w:r>
    </w:p>
    <w:p w14:paraId="113752E7" w14:textId="77777777" w:rsidR="00736852" w:rsidRDefault="00736852" w:rsidP="004F776F">
      <w:pPr>
        <w:spacing w:line="240" w:lineRule="auto"/>
        <w:jc w:val="both"/>
        <w:rPr>
          <w:sz w:val="24"/>
          <w:szCs w:val="24"/>
        </w:rPr>
      </w:pPr>
    </w:p>
    <w:p w14:paraId="15FAF08D" w14:textId="2A4AC1EE" w:rsidR="00736852" w:rsidRDefault="00736852" w:rsidP="004F776F">
      <w:pPr>
        <w:spacing w:line="240" w:lineRule="auto"/>
        <w:jc w:val="both"/>
        <w:rPr>
          <w:sz w:val="24"/>
          <w:szCs w:val="24"/>
        </w:rPr>
      </w:pPr>
      <w:r w:rsidRPr="00736852">
        <w:rPr>
          <w:sz w:val="24"/>
          <w:szCs w:val="24"/>
        </w:rPr>
        <w:t xml:space="preserve">RANCIÈRE, Jacques. </w:t>
      </w:r>
      <w:r w:rsidRPr="00736852">
        <w:rPr>
          <w:b/>
          <w:bCs/>
          <w:sz w:val="24"/>
          <w:szCs w:val="24"/>
        </w:rPr>
        <w:t>O Desentendimento: política e filosofia</w:t>
      </w:r>
      <w:r w:rsidRPr="00736852">
        <w:rPr>
          <w:sz w:val="24"/>
          <w:szCs w:val="24"/>
        </w:rPr>
        <w:t>. São Paulo: Editora 34, 199</w:t>
      </w:r>
      <w:r>
        <w:rPr>
          <w:sz w:val="24"/>
          <w:szCs w:val="24"/>
        </w:rPr>
        <w:t xml:space="preserve">5. </w:t>
      </w:r>
    </w:p>
    <w:p w14:paraId="4C6094CE" w14:textId="77777777" w:rsidR="00FF4348" w:rsidRDefault="00FF4348">
      <w:pPr>
        <w:spacing w:after="200"/>
        <w:jc w:val="both"/>
        <w:rPr>
          <w:rFonts w:ascii="Calibri" w:eastAsia="Calibri" w:hAnsi="Calibri" w:cs="Calibri"/>
          <w:sz w:val="24"/>
          <w:szCs w:val="24"/>
        </w:rPr>
      </w:pPr>
    </w:p>
    <w:sectPr w:rsidR="00FF4348" w:rsidSect="001E4063">
      <w:headerReference w:type="default" r:id="rId14"/>
      <w:footerReference w:type="default" r:id="rId15"/>
      <w:pgSz w:w="11909" w:h="16834"/>
      <w:pgMar w:top="1701" w:right="1134" w:bottom="1134" w:left="1701" w:header="3402"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BFB77" w14:textId="77777777" w:rsidR="005F65A7" w:rsidRDefault="005F65A7">
      <w:pPr>
        <w:spacing w:line="240" w:lineRule="auto"/>
      </w:pPr>
      <w:r>
        <w:separator/>
      </w:r>
    </w:p>
  </w:endnote>
  <w:endnote w:type="continuationSeparator" w:id="0">
    <w:p w14:paraId="504158D3" w14:textId="77777777" w:rsidR="005F65A7" w:rsidRDefault="005F65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3FB7E" w14:textId="77777777" w:rsidR="004331AE" w:rsidRDefault="004331A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89BFF" w14:textId="77777777" w:rsidR="005F65A7" w:rsidRDefault="005F65A7">
      <w:pPr>
        <w:spacing w:line="240" w:lineRule="auto"/>
      </w:pPr>
      <w:r>
        <w:separator/>
      </w:r>
    </w:p>
  </w:footnote>
  <w:footnote w:type="continuationSeparator" w:id="0">
    <w:p w14:paraId="6071AEC4" w14:textId="77777777" w:rsidR="005F65A7" w:rsidRDefault="005F65A7">
      <w:pPr>
        <w:spacing w:line="240" w:lineRule="auto"/>
      </w:pPr>
      <w:r>
        <w:continuationSeparator/>
      </w:r>
    </w:p>
  </w:footnote>
  <w:footnote w:id="1">
    <w:p w14:paraId="7C930FFF" w14:textId="7125E3B0" w:rsidR="00554D3A" w:rsidRDefault="00554D3A">
      <w:pPr>
        <w:pStyle w:val="Textodenotaderodap"/>
      </w:pPr>
      <w:r>
        <w:rPr>
          <w:rStyle w:val="Refdenotaderodap"/>
        </w:rPr>
        <w:footnoteRef/>
      </w:r>
      <w:r>
        <w:t xml:space="preserve"> Universidade Federal do Pará; Graduanda em Serviço Social; </w:t>
      </w:r>
      <w:r w:rsidR="00570B58">
        <w:t>Email: Kaline.leite@icsa.ufpa.br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BBC9D" w14:textId="3C947906" w:rsidR="00FF4348" w:rsidRDefault="009B7EEB">
    <w:r>
      <w:rPr>
        <w:noProof/>
      </w:rPr>
      <w:drawing>
        <wp:anchor distT="114300" distB="114300" distL="114300" distR="114300" simplePos="0" relativeHeight="251658240" behindDoc="1" locked="0" layoutInCell="1" allowOverlap="1" wp14:anchorId="450F8262" wp14:editId="4D89DA9C">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117D4"/>
    <w:multiLevelType w:val="hybridMultilevel"/>
    <w:tmpl w:val="C56401D2"/>
    <w:lvl w:ilvl="0" w:tplc="9774C464">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8E03047"/>
    <w:multiLevelType w:val="hybridMultilevel"/>
    <w:tmpl w:val="8DF20AC6"/>
    <w:lvl w:ilvl="0" w:tplc="50EE4A5E">
      <w:start w:val="3"/>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6557C59"/>
    <w:multiLevelType w:val="multilevel"/>
    <w:tmpl w:val="4F225B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F25058"/>
    <w:multiLevelType w:val="multilevel"/>
    <w:tmpl w:val="22545D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E6D5492"/>
    <w:multiLevelType w:val="hybridMultilevel"/>
    <w:tmpl w:val="274A9B72"/>
    <w:lvl w:ilvl="0" w:tplc="071031F6">
      <w:start w:val="3"/>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138208731">
    <w:abstractNumId w:val="3"/>
  </w:num>
  <w:num w:numId="2" w16cid:durableId="296837841">
    <w:abstractNumId w:val="2"/>
  </w:num>
  <w:num w:numId="3" w16cid:durableId="1589145961">
    <w:abstractNumId w:val="1"/>
  </w:num>
  <w:num w:numId="4" w16cid:durableId="1298876562">
    <w:abstractNumId w:val="0"/>
  </w:num>
  <w:num w:numId="5" w16cid:durableId="16729038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01B5D"/>
    <w:rsid w:val="0000287A"/>
    <w:rsid w:val="0001051D"/>
    <w:rsid w:val="00011B9C"/>
    <w:rsid w:val="00011F77"/>
    <w:rsid w:val="00034088"/>
    <w:rsid w:val="00066144"/>
    <w:rsid w:val="000666BE"/>
    <w:rsid w:val="00072804"/>
    <w:rsid w:val="000E0097"/>
    <w:rsid w:val="000E1F1B"/>
    <w:rsid w:val="00105BC2"/>
    <w:rsid w:val="00110B02"/>
    <w:rsid w:val="00127B2B"/>
    <w:rsid w:val="00140520"/>
    <w:rsid w:val="001405F9"/>
    <w:rsid w:val="0015078E"/>
    <w:rsid w:val="00153360"/>
    <w:rsid w:val="001606C1"/>
    <w:rsid w:val="0016619D"/>
    <w:rsid w:val="00167563"/>
    <w:rsid w:val="00190394"/>
    <w:rsid w:val="00190DF3"/>
    <w:rsid w:val="00191721"/>
    <w:rsid w:val="001A1244"/>
    <w:rsid w:val="001A566C"/>
    <w:rsid w:val="001D0680"/>
    <w:rsid w:val="001E3AD6"/>
    <w:rsid w:val="001E4063"/>
    <w:rsid w:val="0020558B"/>
    <w:rsid w:val="0021151E"/>
    <w:rsid w:val="002122BF"/>
    <w:rsid w:val="00230FF9"/>
    <w:rsid w:val="00231804"/>
    <w:rsid w:val="0026272D"/>
    <w:rsid w:val="00292980"/>
    <w:rsid w:val="00294893"/>
    <w:rsid w:val="00297F43"/>
    <w:rsid w:val="002A7A56"/>
    <w:rsid w:val="002B22E3"/>
    <w:rsid w:val="002C3FA4"/>
    <w:rsid w:val="002D0854"/>
    <w:rsid w:val="002D2358"/>
    <w:rsid w:val="002E3AD3"/>
    <w:rsid w:val="002F3C44"/>
    <w:rsid w:val="002F6D45"/>
    <w:rsid w:val="00302F76"/>
    <w:rsid w:val="00306250"/>
    <w:rsid w:val="003073CE"/>
    <w:rsid w:val="00314E69"/>
    <w:rsid w:val="0033677C"/>
    <w:rsid w:val="00344258"/>
    <w:rsid w:val="00356271"/>
    <w:rsid w:val="00366BCB"/>
    <w:rsid w:val="00383F15"/>
    <w:rsid w:val="003A26D6"/>
    <w:rsid w:val="003A29B4"/>
    <w:rsid w:val="003A2B57"/>
    <w:rsid w:val="003B6826"/>
    <w:rsid w:val="003D0BF1"/>
    <w:rsid w:val="003E0593"/>
    <w:rsid w:val="003E5993"/>
    <w:rsid w:val="003E5C11"/>
    <w:rsid w:val="003F199A"/>
    <w:rsid w:val="00403CDB"/>
    <w:rsid w:val="004208A0"/>
    <w:rsid w:val="00423931"/>
    <w:rsid w:val="00426767"/>
    <w:rsid w:val="00426D7C"/>
    <w:rsid w:val="004331AE"/>
    <w:rsid w:val="00435C70"/>
    <w:rsid w:val="00440A7E"/>
    <w:rsid w:val="00441ED3"/>
    <w:rsid w:val="004637C5"/>
    <w:rsid w:val="004705CB"/>
    <w:rsid w:val="00475B88"/>
    <w:rsid w:val="00486451"/>
    <w:rsid w:val="00495C49"/>
    <w:rsid w:val="004A6024"/>
    <w:rsid w:val="004F776F"/>
    <w:rsid w:val="005019B8"/>
    <w:rsid w:val="00502971"/>
    <w:rsid w:val="00515D0B"/>
    <w:rsid w:val="0051656D"/>
    <w:rsid w:val="0052431D"/>
    <w:rsid w:val="0053406A"/>
    <w:rsid w:val="00542830"/>
    <w:rsid w:val="0055084C"/>
    <w:rsid w:val="00554D3A"/>
    <w:rsid w:val="005647D3"/>
    <w:rsid w:val="00570B58"/>
    <w:rsid w:val="00573824"/>
    <w:rsid w:val="00576E16"/>
    <w:rsid w:val="0059615E"/>
    <w:rsid w:val="005A630B"/>
    <w:rsid w:val="005A6BD7"/>
    <w:rsid w:val="005B5D01"/>
    <w:rsid w:val="005C042E"/>
    <w:rsid w:val="005C239D"/>
    <w:rsid w:val="005C4655"/>
    <w:rsid w:val="005E05A3"/>
    <w:rsid w:val="005E62A2"/>
    <w:rsid w:val="005F126F"/>
    <w:rsid w:val="005F65A7"/>
    <w:rsid w:val="00600BE6"/>
    <w:rsid w:val="00603899"/>
    <w:rsid w:val="00635B8D"/>
    <w:rsid w:val="00682B73"/>
    <w:rsid w:val="00684653"/>
    <w:rsid w:val="006872AC"/>
    <w:rsid w:val="006A7132"/>
    <w:rsid w:val="006F0E6C"/>
    <w:rsid w:val="00706555"/>
    <w:rsid w:val="00711AAD"/>
    <w:rsid w:val="00713E15"/>
    <w:rsid w:val="00721D14"/>
    <w:rsid w:val="007221AD"/>
    <w:rsid w:val="007228B9"/>
    <w:rsid w:val="00733317"/>
    <w:rsid w:val="00734FE4"/>
    <w:rsid w:val="00736852"/>
    <w:rsid w:val="00736856"/>
    <w:rsid w:val="00744457"/>
    <w:rsid w:val="00767AFC"/>
    <w:rsid w:val="00786D45"/>
    <w:rsid w:val="0079150D"/>
    <w:rsid w:val="007A45CD"/>
    <w:rsid w:val="007C77B1"/>
    <w:rsid w:val="007D5B3E"/>
    <w:rsid w:val="007E3A32"/>
    <w:rsid w:val="007F1AB5"/>
    <w:rsid w:val="008123C1"/>
    <w:rsid w:val="00813232"/>
    <w:rsid w:val="008149F3"/>
    <w:rsid w:val="008222A3"/>
    <w:rsid w:val="0082458B"/>
    <w:rsid w:val="00856420"/>
    <w:rsid w:val="0086325C"/>
    <w:rsid w:val="00886642"/>
    <w:rsid w:val="008A70B7"/>
    <w:rsid w:val="008B34DE"/>
    <w:rsid w:val="008E1B40"/>
    <w:rsid w:val="008E5AF3"/>
    <w:rsid w:val="009046EC"/>
    <w:rsid w:val="00915202"/>
    <w:rsid w:val="00917BB6"/>
    <w:rsid w:val="009302B4"/>
    <w:rsid w:val="00936480"/>
    <w:rsid w:val="00944825"/>
    <w:rsid w:val="009652D6"/>
    <w:rsid w:val="00971155"/>
    <w:rsid w:val="00974316"/>
    <w:rsid w:val="009846EB"/>
    <w:rsid w:val="00986B51"/>
    <w:rsid w:val="0099441A"/>
    <w:rsid w:val="009B709D"/>
    <w:rsid w:val="009B7EEB"/>
    <w:rsid w:val="009C1952"/>
    <w:rsid w:val="009C40AD"/>
    <w:rsid w:val="009C54AB"/>
    <w:rsid w:val="009F0D62"/>
    <w:rsid w:val="009F18CE"/>
    <w:rsid w:val="00A07CF0"/>
    <w:rsid w:val="00A343D0"/>
    <w:rsid w:val="00A3603E"/>
    <w:rsid w:val="00A604E2"/>
    <w:rsid w:val="00A654C5"/>
    <w:rsid w:val="00A669C2"/>
    <w:rsid w:val="00A67AFE"/>
    <w:rsid w:val="00A84301"/>
    <w:rsid w:val="00A91717"/>
    <w:rsid w:val="00AD3DEB"/>
    <w:rsid w:val="00AE1160"/>
    <w:rsid w:val="00AE4938"/>
    <w:rsid w:val="00AF1FD0"/>
    <w:rsid w:val="00AF277A"/>
    <w:rsid w:val="00AF7C22"/>
    <w:rsid w:val="00AF7F1C"/>
    <w:rsid w:val="00B05DA8"/>
    <w:rsid w:val="00B374F4"/>
    <w:rsid w:val="00B47640"/>
    <w:rsid w:val="00B6264F"/>
    <w:rsid w:val="00B778A9"/>
    <w:rsid w:val="00B8101E"/>
    <w:rsid w:val="00BB06AC"/>
    <w:rsid w:val="00BB497D"/>
    <w:rsid w:val="00BC6BC4"/>
    <w:rsid w:val="00BC7C70"/>
    <w:rsid w:val="00BE7624"/>
    <w:rsid w:val="00C01D5D"/>
    <w:rsid w:val="00C0624E"/>
    <w:rsid w:val="00C1275C"/>
    <w:rsid w:val="00C15825"/>
    <w:rsid w:val="00C35C0A"/>
    <w:rsid w:val="00C36A61"/>
    <w:rsid w:val="00C42269"/>
    <w:rsid w:val="00C519BB"/>
    <w:rsid w:val="00C60BBB"/>
    <w:rsid w:val="00C73B64"/>
    <w:rsid w:val="00C8025B"/>
    <w:rsid w:val="00C96721"/>
    <w:rsid w:val="00CC2143"/>
    <w:rsid w:val="00CC4EEC"/>
    <w:rsid w:val="00CD0845"/>
    <w:rsid w:val="00CE27F1"/>
    <w:rsid w:val="00D16712"/>
    <w:rsid w:val="00D23C44"/>
    <w:rsid w:val="00D27060"/>
    <w:rsid w:val="00D438C7"/>
    <w:rsid w:val="00D515A3"/>
    <w:rsid w:val="00D63F46"/>
    <w:rsid w:val="00D65686"/>
    <w:rsid w:val="00D71667"/>
    <w:rsid w:val="00D946C4"/>
    <w:rsid w:val="00DA2DA3"/>
    <w:rsid w:val="00DA43C3"/>
    <w:rsid w:val="00DE1959"/>
    <w:rsid w:val="00DE49B4"/>
    <w:rsid w:val="00E01304"/>
    <w:rsid w:val="00E3114C"/>
    <w:rsid w:val="00E33770"/>
    <w:rsid w:val="00E3496C"/>
    <w:rsid w:val="00E3516A"/>
    <w:rsid w:val="00E41CF2"/>
    <w:rsid w:val="00E567BF"/>
    <w:rsid w:val="00E64E46"/>
    <w:rsid w:val="00E71CF8"/>
    <w:rsid w:val="00E76059"/>
    <w:rsid w:val="00E77E01"/>
    <w:rsid w:val="00E83F90"/>
    <w:rsid w:val="00EC0FB9"/>
    <w:rsid w:val="00EC2B40"/>
    <w:rsid w:val="00EE4362"/>
    <w:rsid w:val="00EF2F4D"/>
    <w:rsid w:val="00F24D28"/>
    <w:rsid w:val="00F2735F"/>
    <w:rsid w:val="00F343D7"/>
    <w:rsid w:val="00F51504"/>
    <w:rsid w:val="00F6386B"/>
    <w:rsid w:val="00F767E7"/>
    <w:rsid w:val="00FB7945"/>
    <w:rsid w:val="00FC41B1"/>
    <w:rsid w:val="00FC79E8"/>
    <w:rsid w:val="00FE66CF"/>
    <w:rsid w:val="00FE7FCF"/>
    <w:rsid w:val="00FF3CC4"/>
    <w:rsid w:val="00FF4348"/>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5643CF"/>
  <w15:docId w15:val="{D376C982-39DF-4AC7-B5B3-DDA71E031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25C"/>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A84301"/>
    <w:rPr>
      <w:rFonts w:ascii="Times New Roman" w:hAnsi="Times New Roman" w:cs="Times New Roman"/>
      <w:sz w:val="24"/>
      <w:szCs w:val="24"/>
    </w:r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character" w:styleId="TextodoEspaoReservado">
    <w:name w:val="Placeholder Text"/>
    <w:uiPriority w:val="99"/>
    <w:semiHidden/>
    <w:rsid w:val="00D71667"/>
    <w:rPr>
      <w:color w:val="666666"/>
    </w:rPr>
  </w:style>
  <w:style w:type="paragraph" w:styleId="PargrafodaLista">
    <w:name w:val="List Paragraph"/>
    <w:basedOn w:val="Normal"/>
    <w:uiPriority w:val="34"/>
    <w:qFormat/>
    <w:rsid w:val="00FE7FCF"/>
    <w:pPr>
      <w:ind w:left="720"/>
      <w:contextualSpacing/>
    </w:pPr>
  </w:style>
  <w:style w:type="character" w:styleId="Hyperlink">
    <w:name w:val="Hyperlink"/>
    <w:basedOn w:val="Fontepargpadro"/>
    <w:uiPriority w:val="99"/>
    <w:unhideWhenUsed/>
    <w:rsid w:val="00EF2F4D"/>
    <w:rPr>
      <w:color w:val="467886" w:themeColor="hyperlink"/>
      <w:u w:val="single"/>
    </w:rPr>
  </w:style>
  <w:style w:type="character" w:styleId="MenoPendente">
    <w:name w:val="Unresolved Mention"/>
    <w:basedOn w:val="Fontepargpadro"/>
    <w:uiPriority w:val="99"/>
    <w:semiHidden/>
    <w:unhideWhenUsed/>
    <w:rsid w:val="00EF2F4D"/>
    <w:rPr>
      <w:color w:val="605E5C"/>
      <w:shd w:val="clear" w:color="auto" w:fill="E1DFDD"/>
    </w:rPr>
  </w:style>
  <w:style w:type="paragraph" w:styleId="Textodenotaderodap">
    <w:name w:val="footnote text"/>
    <w:basedOn w:val="Normal"/>
    <w:link w:val="TextodenotaderodapChar"/>
    <w:uiPriority w:val="99"/>
    <w:semiHidden/>
    <w:unhideWhenUsed/>
    <w:rsid w:val="00E33770"/>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E33770"/>
  </w:style>
  <w:style w:type="character" w:styleId="Refdenotaderodap">
    <w:name w:val="footnote reference"/>
    <w:basedOn w:val="Fontepargpadro"/>
    <w:uiPriority w:val="99"/>
    <w:semiHidden/>
    <w:unhideWhenUsed/>
    <w:rsid w:val="00E33770"/>
    <w:rPr>
      <w:vertAlign w:val="superscript"/>
    </w:rPr>
  </w:style>
  <w:style w:type="table" w:customStyle="1" w:styleId="TableNormal1">
    <w:name w:val="Table Normal1"/>
    <w:rsid w:val="00F343D7"/>
    <w:pPr>
      <w:spacing w:line="276" w:lineRule="auto"/>
    </w:pPr>
    <w:rPr>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8002">
      <w:bodyDiv w:val="1"/>
      <w:marLeft w:val="0"/>
      <w:marRight w:val="0"/>
      <w:marTop w:val="0"/>
      <w:marBottom w:val="0"/>
      <w:divBdr>
        <w:top w:val="none" w:sz="0" w:space="0" w:color="auto"/>
        <w:left w:val="none" w:sz="0" w:space="0" w:color="auto"/>
        <w:bottom w:val="none" w:sz="0" w:space="0" w:color="auto"/>
        <w:right w:val="none" w:sz="0" w:space="0" w:color="auto"/>
      </w:divBdr>
      <w:divsChild>
        <w:div w:id="174612319">
          <w:marLeft w:val="0"/>
          <w:marRight w:val="0"/>
          <w:marTop w:val="0"/>
          <w:marBottom w:val="0"/>
          <w:divBdr>
            <w:top w:val="none" w:sz="0" w:space="0" w:color="auto"/>
            <w:left w:val="none" w:sz="0" w:space="0" w:color="auto"/>
            <w:bottom w:val="none" w:sz="0" w:space="0" w:color="auto"/>
            <w:right w:val="none" w:sz="0" w:space="0" w:color="auto"/>
          </w:divBdr>
        </w:div>
        <w:div w:id="471675497">
          <w:marLeft w:val="0"/>
          <w:marRight w:val="0"/>
          <w:marTop w:val="0"/>
          <w:marBottom w:val="0"/>
          <w:divBdr>
            <w:top w:val="none" w:sz="0" w:space="0" w:color="auto"/>
            <w:left w:val="none" w:sz="0" w:space="0" w:color="auto"/>
            <w:bottom w:val="none" w:sz="0" w:space="0" w:color="auto"/>
            <w:right w:val="none" w:sz="0" w:space="0" w:color="auto"/>
          </w:divBdr>
        </w:div>
        <w:div w:id="677731130">
          <w:marLeft w:val="0"/>
          <w:marRight w:val="0"/>
          <w:marTop w:val="0"/>
          <w:marBottom w:val="0"/>
          <w:divBdr>
            <w:top w:val="none" w:sz="0" w:space="0" w:color="auto"/>
            <w:left w:val="none" w:sz="0" w:space="0" w:color="auto"/>
            <w:bottom w:val="none" w:sz="0" w:space="0" w:color="auto"/>
            <w:right w:val="none" w:sz="0" w:space="0" w:color="auto"/>
          </w:divBdr>
        </w:div>
        <w:div w:id="1065253619">
          <w:marLeft w:val="0"/>
          <w:marRight w:val="0"/>
          <w:marTop w:val="0"/>
          <w:marBottom w:val="0"/>
          <w:divBdr>
            <w:top w:val="none" w:sz="0" w:space="0" w:color="auto"/>
            <w:left w:val="none" w:sz="0" w:space="0" w:color="auto"/>
            <w:bottom w:val="none" w:sz="0" w:space="0" w:color="auto"/>
            <w:right w:val="none" w:sz="0" w:space="0" w:color="auto"/>
          </w:divBdr>
        </w:div>
        <w:div w:id="1570076564">
          <w:marLeft w:val="0"/>
          <w:marRight w:val="0"/>
          <w:marTop w:val="0"/>
          <w:marBottom w:val="0"/>
          <w:divBdr>
            <w:top w:val="none" w:sz="0" w:space="0" w:color="auto"/>
            <w:left w:val="none" w:sz="0" w:space="0" w:color="auto"/>
            <w:bottom w:val="none" w:sz="0" w:space="0" w:color="auto"/>
            <w:right w:val="none" w:sz="0" w:space="0" w:color="auto"/>
          </w:divBdr>
        </w:div>
        <w:div w:id="1606499309">
          <w:marLeft w:val="0"/>
          <w:marRight w:val="0"/>
          <w:marTop w:val="0"/>
          <w:marBottom w:val="0"/>
          <w:divBdr>
            <w:top w:val="none" w:sz="0" w:space="0" w:color="auto"/>
            <w:left w:val="none" w:sz="0" w:space="0" w:color="auto"/>
            <w:bottom w:val="none" w:sz="0" w:space="0" w:color="auto"/>
            <w:right w:val="none" w:sz="0" w:space="0" w:color="auto"/>
          </w:divBdr>
        </w:div>
        <w:div w:id="1633368308">
          <w:marLeft w:val="0"/>
          <w:marRight w:val="0"/>
          <w:marTop w:val="0"/>
          <w:marBottom w:val="0"/>
          <w:divBdr>
            <w:top w:val="none" w:sz="0" w:space="0" w:color="auto"/>
            <w:left w:val="none" w:sz="0" w:space="0" w:color="auto"/>
            <w:bottom w:val="none" w:sz="0" w:space="0" w:color="auto"/>
            <w:right w:val="none" w:sz="0" w:space="0" w:color="auto"/>
          </w:divBdr>
        </w:div>
        <w:div w:id="2016034433">
          <w:marLeft w:val="0"/>
          <w:marRight w:val="0"/>
          <w:marTop w:val="0"/>
          <w:marBottom w:val="0"/>
          <w:divBdr>
            <w:top w:val="none" w:sz="0" w:space="0" w:color="auto"/>
            <w:left w:val="none" w:sz="0" w:space="0" w:color="auto"/>
            <w:bottom w:val="none" w:sz="0" w:space="0" w:color="auto"/>
            <w:right w:val="none" w:sz="0" w:space="0" w:color="auto"/>
          </w:divBdr>
        </w:div>
        <w:div w:id="2146698385">
          <w:marLeft w:val="0"/>
          <w:marRight w:val="0"/>
          <w:marTop w:val="0"/>
          <w:marBottom w:val="0"/>
          <w:divBdr>
            <w:top w:val="none" w:sz="0" w:space="0" w:color="auto"/>
            <w:left w:val="none" w:sz="0" w:space="0" w:color="auto"/>
            <w:bottom w:val="none" w:sz="0" w:space="0" w:color="auto"/>
            <w:right w:val="none" w:sz="0" w:space="0" w:color="auto"/>
          </w:divBdr>
        </w:div>
      </w:divsChild>
    </w:div>
    <w:div w:id="144780376">
      <w:bodyDiv w:val="1"/>
      <w:marLeft w:val="0"/>
      <w:marRight w:val="0"/>
      <w:marTop w:val="0"/>
      <w:marBottom w:val="0"/>
      <w:divBdr>
        <w:top w:val="none" w:sz="0" w:space="0" w:color="auto"/>
        <w:left w:val="none" w:sz="0" w:space="0" w:color="auto"/>
        <w:bottom w:val="none" w:sz="0" w:space="0" w:color="auto"/>
        <w:right w:val="none" w:sz="0" w:space="0" w:color="auto"/>
      </w:divBdr>
    </w:div>
    <w:div w:id="310911352">
      <w:bodyDiv w:val="1"/>
      <w:marLeft w:val="0"/>
      <w:marRight w:val="0"/>
      <w:marTop w:val="0"/>
      <w:marBottom w:val="0"/>
      <w:divBdr>
        <w:top w:val="none" w:sz="0" w:space="0" w:color="auto"/>
        <w:left w:val="none" w:sz="0" w:space="0" w:color="auto"/>
        <w:bottom w:val="none" w:sz="0" w:space="0" w:color="auto"/>
        <w:right w:val="none" w:sz="0" w:space="0" w:color="auto"/>
      </w:divBdr>
    </w:div>
    <w:div w:id="321740196">
      <w:bodyDiv w:val="1"/>
      <w:marLeft w:val="0"/>
      <w:marRight w:val="0"/>
      <w:marTop w:val="0"/>
      <w:marBottom w:val="0"/>
      <w:divBdr>
        <w:top w:val="none" w:sz="0" w:space="0" w:color="auto"/>
        <w:left w:val="none" w:sz="0" w:space="0" w:color="auto"/>
        <w:bottom w:val="none" w:sz="0" w:space="0" w:color="auto"/>
        <w:right w:val="none" w:sz="0" w:space="0" w:color="auto"/>
      </w:divBdr>
    </w:div>
    <w:div w:id="350499328">
      <w:bodyDiv w:val="1"/>
      <w:marLeft w:val="0"/>
      <w:marRight w:val="0"/>
      <w:marTop w:val="0"/>
      <w:marBottom w:val="0"/>
      <w:divBdr>
        <w:top w:val="none" w:sz="0" w:space="0" w:color="auto"/>
        <w:left w:val="none" w:sz="0" w:space="0" w:color="auto"/>
        <w:bottom w:val="none" w:sz="0" w:space="0" w:color="auto"/>
        <w:right w:val="none" w:sz="0" w:space="0" w:color="auto"/>
      </w:divBdr>
      <w:divsChild>
        <w:div w:id="1590098">
          <w:marLeft w:val="0"/>
          <w:marRight w:val="0"/>
          <w:marTop w:val="0"/>
          <w:marBottom w:val="0"/>
          <w:divBdr>
            <w:top w:val="none" w:sz="0" w:space="0" w:color="auto"/>
            <w:left w:val="none" w:sz="0" w:space="0" w:color="auto"/>
            <w:bottom w:val="none" w:sz="0" w:space="0" w:color="auto"/>
            <w:right w:val="none" w:sz="0" w:space="0" w:color="auto"/>
          </w:divBdr>
        </w:div>
        <w:div w:id="157306143">
          <w:marLeft w:val="0"/>
          <w:marRight w:val="0"/>
          <w:marTop w:val="0"/>
          <w:marBottom w:val="0"/>
          <w:divBdr>
            <w:top w:val="none" w:sz="0" w:space="0" w:color="auto"/>
            <w:left w:val="none" w:sz="0" w:space="0" w:color="auto"/>
            <w:bottom w:val="none" w:sz="0" w:space="0" w:color="auto"/>
            <w:right w:val="none" w:sz="0" w:space="0" w:color="auto"/>
          </w:divBdr>
        </w:div>
        <w:div w:id="167990456">
          <w:marLeft w:val="0"/>
          <w:marRight w:val="0"/>
          <w:marTop w:val="0"/>
          <w:marBottom w:val="0"/>
          <w:divBdr>
            <w:top w:val="none" w:sz="0" w:space="0" w:color="auto"/>
            <w:left w:val="none" w:sz="0" w:space="0" w:color="auto"/>
            <w:bottom w:val="none" w:sz="0" w:space="0" w:color="auto"/>
            <w:right w:val="none" w:sz="0" w:space="0" w:color="auto"/>
          </w:divBdr>
        </w:div>
        <w:div w:id="633218129">
          <w:marLeft w:val="0"/>
          <w:marRight w:val="0"/>
          <w:marTop w:val="0"/>
          <w:marBottom w:val="0"/>
          <w:divBdr>
            <w:top w:val="none" w:sz="0" w:space="0" w:color="auto"/>
            <w:left w:val="none" w:sz="0" w:space="0" w:color="auto"/>
            <w:bottom w:val="none" w:sz="0" w:space="0" w:color="auto"/>
            <w:right w:val="none" w:sz="0" w:space="0" w:color="auto"/>
          </w:divBdr>
        </w:div>
        <w:div w:id="910582441">
          <w:marLeft w:val="0"/>
          <w:marRight w:val="0"/>
          <w:marTop w:val="0"/>
          <w:marBottom w:val="0"/>
          <w:divBdr>
            <w:top w:val="none" w:sz="0" w:space="0" w:color="auto"/>
            <w:left w:val="none" w:sz="0" w:space="0" w:color="auto"/>
            <w:bottom w:val="none" w:sz="0" w:space="0" w:color="auto"/>
            <w:right w:val="none" w:sz="0" w:space="0" w:color="auto"/>
          </w:divBdr>
        </w:div>
        <w:div w:id="923565645">
          <w:marLeft w:val="0"/>
          <w:marRight w:val="0"/>
          <w:marTop w:val="0"/>
          <w:marBottom w:val="0"/>
          <w:divBdr>
            <w:top w:val="none" w:sz="0" w:space="0" w:color="auto"/>
            <w:left w:val="none" w:sz="0" w:space="0" w:color="auto"/>
            <w:bottom w:val="none" w:sz="0" w:space="0" w:color="auto"/>
            <w:right w:val="none" w:sz="0" w:space="0" w:color="auto"/>
          </w:divBdr>
        </w:div>
        <w:div w:id="1221596084">
          <w:marLeft w:val="0"/>
          <w:marRight w:val="0"/>
          <w:marTop w:val="0"/>
          <w:marBottom w:val="0"/>
          <w:divBdr>
            <w:top w:val="none" w:sz="0" w:space="0" w:color="auto"/>
            <w:left w:val="none" w:sz="0" w:space="0" w:color="auto"/>
            <w:bottom w:val="none" w:sz="0" w:space="0" w:color="auto"/>
            <w:right w:val="none" w:sz="0" w:space="0" w:color="auto"/>
          </w:divBdr>
        </w:div>
        <w:div w:id="1241255463">
          <w:marLeft w:val="0"/>
          <w:marRight w:val="0"/>
          <w:marTop w:val="0"/>
          <w:marBottom w:val="0"/>
          <w:divBdr>
            <w:top w:val="none" w:sz="0" w:space="0" w:color="auto"/>
            <w:left w:val="none" w:sz="0" w:space="0" w:color="auto"/>
            <w:bottom w:val="none" w:sz="0" w:space="0" w:color="auto"/>
            <w:right w:val="none" w:sz="0" w:space="0" w:color="auto"/>
          </w:divBdr>
        </w:div>
        <w:div w:id="1567102752">
          <w:marLeft w:val="0"/>
          <w:marRight w:val="0"/>
          <w:marTop w:val="0"/>
          <w:marBottom w:val="0"/>
          <w:divBdr>
            <w:top w:val="none" w:sz="0" w:space="0" w:color="auto"/>
            <w:left w:val="none" w:sz="0" w:space="0" w:color="auto"/>
            <w:bottom w:val="none" w:sz="0" w:space="0" w:color="auto"/>
            <w:right w:val="none" w:sz="0" w:space="0" w:color="auto"/>
          </w:divBdr>
        </w:div>
      </w:divsChild>
    </w:div>
    <w:div w:id="439109406">
      <w:bodyDiv w:val="1"/>
      <w:marLeft w:val="0"/>
      <w:marRight w:val="0"/>
      <w:marTop w:val="0"/>
      <w:marBottom w:val="0"/>
      <w:divBdr>
        <w:top w:val="none" w:sz="0" w:space="0" w:color="auto"/>
        <w:left w:val="none" w:sz="0" w:space="0" w:color="auto"/>
        <w:bottom w:val="none" w:sz="0" w:space="0" w:color="auto"/>
        <w:right w:val="none" w:sz="0" w:space="0" w:color="auto"/>
      </w:divBdr>
    </w:div>
    <w:div w:id="528419543">
      <w:bodyDiv w:val="1"/>
      <w:marLeft w:val="0"/>
      <w:marRight w:val="0"/>
      <w:marTop w:val="0"/>
      <w:marBottom w:val="0"/>
      <w:divBdr>
        <w:top w:val="none" w:sz="0" w:space="0" w:color="auto"/>
        <w:left w:val="none" w:sz="0" w:space="0" w:color="auto"/>
        <w:bottom w:val="none" w:sz="0" w:space="0" w:color="auto"/>
        <w:right w:val="none" w:sz="0" w:space="0" w:color="auto"/>
      </w:divBdr>
    </w:div>
    <w:div w:id="747575552">
      <w:bodyDiv w:val="1"/>
      <w:marLeft w:val="0"/>
      <w:marRight w:val="0"/>
      <w:marTop w:val="0"/>
      <w:marBottom w:val="0"/>
      <w:divBdr>
        <w:top w:val="none" w:sz="0" w:space="0" w:color="auto"/>
        <w:left w:val="none" w:sz="0" w:space="0" w:color="auto"/>
        <w:bottom w:val="none" w:sz="0" w:space="0" w:color="auto"/>
        <w:right w:val="none" w:sz="0" w:space="0" w:color="auto"/>
      </w:divBdr>
    </w:div>
    <w:div w:id="879826803">
      <w:bodyDiv w:val="1"/>
      <w:marLeft w:val="0"/>
      <w:marRight w:val="0"/>
      <w:marTop w:val="0"/>
      <w:marBottom w:val="0"/>
      <w:divBdr>
        <w:top w:val="none" w:sz="0" w:space="0" w:color="auto"/>
        <w:left w:val="none" w:sz="0" w:space="0" w:color="auto"/>
        <w:bottom w:val="none" w:sz="0" w:space="0" w:color="auto"/>
        <w:right w:val="none" w:sz="0" w:space="0" w:color="auto"/>
      </w:divBdr>
    </w:div>
    <w:div w:id="906037751">
      <w:bodyDiv w:val="1"/>
      <w:marLeft w:val="0"/>
      <w:marRight w:val="0"/>
      <w:marTop w:val="0"/>
      <w:marBottom w:val="0"/>
      <w:divBdr>
        <w:top w:val="none" w:sz="0" w:space="0" w:color="auto"/>
        <w:left w:val="none" w:sz="0" w:space="0" w:color="auto"/>
        <w:bottom w:val="none" w:sz="0" w:space="0" w:color="auto"/>
        <w:right w:val="none" w:sz="0" w:space="0" w:color="auto"/>
      </w:divBdr>
      <w:divsChild>
        <w:div w:id="68158993">
          <w:marLeft w:val="0"/>
          <w:marRight w:val="0"/>
          <w:marTop w:val="0"/>
          <w:marBottom w:val="0"/>
          <w:divBdr>
            <w:top w:val="none" w:sz="0" w:space="0" w:color="auto"/>
            <w:left w:val="none" w:sz="0" w:space="0" w:color="auto"/>
            <w:bottom w:val="none" w:sz="0" w:space="0" w:color="auto"/>
            <w:right w:val="none" w:sz="0" w:space="0" w:color="auto"/>
          </w:divBdr>
        </w:div>
        <w:div w:id="246619313">
          <w:marLeft w:val="0"/>
          <w:marRight w:val="0"/>
          <w:marTop w:val="0"/>
          <w:marBottom w:val="0"/>
          <w:divBdr>
            <w:top w:val="none" w:sz="0" w:space="0" w:color="auto"/>
            <w:left w:val="none" w:sz="0" w:space="0" w:color="auto"/>
            <w:bottom w:val="none" w:sz="0" w:space="0" w:color="auto"/>
            <w:right w:val="none" w:sz="0" w:space="0" w:color="auto"/>
          </w:divBdr>
        </w:div>
        <w:div w:id="721094530">
          <w:marLeft w:val="0"/>
          <w:marRight w:val="0"/>
          <w:marTop w:val="0"/>
          <w:marBottom w:val="0"/>
          <w:divBdr>
            <w:top w:val="none" w:sz="0" w:space="0" w:color="auto"/>
            <w:left w:val="none" w:sz="0" w:space="0" w:color="auto"/>
            <w:bottom w:val="none" w:sz="0" w:space="0" w:color="auto"/>
            <w:right w:val="none" w:sz="0" w:space="0" w:color="auto"/>
          </w:divBdr>
        </w:div>
        <w:div w:id="1033381410">
          <w:marLeft w:val="0"/>
          <w:marRight w:val="0"/>
          <w:marTop w:val="0"/>
          <w:marBottom w:val="0"/>
          <w:divBdr>
            <w:top w:val="none" w:sz="0" w:space="0" w:color="auto"/>
            <w:left w:val="none" w:sz="0" w:space="0" w:color="auto"/>
            <w:bottom w:val="none" w:sz="0" w:space="0" w:color="auto"/>
            <w:right w:val="none" w:sz="0" w:space="0" w:color="auto"/>
          </w:divBdr>
        </w:div>
      </w:divsChild>
    </w:div>
    <w:div w:id="920606591">
      <w:bodyDiv w:val="1"/>
      <w:marLeft w:val="0"/>
      <w:marRight w:val="0"/>
      <w:marTop w:val="0"/>
      <w:marBottom w:val="0"/>
      <w:divBdr>
        <w:top w:val="none" w:sz="0" w:space="0" w:color="auto"/>
        <w:left w:val="none" w:sz="0" w:space="0" w:color="auto"/>
        <w:bottom w:val="none" w:sz="0" w:space="0" w:color="auto"/>
        <w:right w:val="none" w:sz="0" w:space="0" w:color="auto"/>
      </w:divBdr>
    </w:div>
    <w:div w:id="1074737455">
      <w:bodyDiv w:val="1"/>
      <w:marLeft w:val="0"/>
      <w:marRight w:val="0"/>
      <w:marTop w:val="0"/>
      <w:marBottom w:val="0"/>
      <w:divBdr>
        <w:top w:val="none" w:sz="0" w:space="0" w:color="auto"/>
        <w:left w:val="none" w:sz="0" w:space="0" w:color="auto"/>
        <w:bottom w:val="none" w:sz="0" w:space="0" w:color="auto"/>
        <w:right w:val="none" w:sz="0" w:space="0" w:color="auto"/>
      </w:divBdr>
    </w:div>
    <w:div w:id="1105350706">
      <w:bodyDiv w:val="1"/>
      <w:marLeft w:val="0"/>
      <w:marRight w:val="0"/>
      <w:marTop w:val="0"/>
      <w:marBottom w:val="0"/>
      <w:divBdr>
        <w:top w:val="none" w:sz="0" w:space="0" w:color="auto"/>
        <w:left w:val="none" w:sz="0" w:space="0" w:color="auto"/>
        <w:bottom w:val="none" w:sz="0" w:space="0" w:color="auto"/>
        <w:right w:val="none" w:sz="0" w:space="0" w:color="auto"/>
      </w:divBdr>
      <w:divsChild>
        <w:div w:id="7952018">
          <w:marLeft w:val="0"/>
          <w:marRight w:val="0"/>
          <w:marTop w:val="0"/>
          <w:marBottom w:val="0"/>
          <w:divBdr>
            <w:top w:val="none" w:sz="0" w:space="0" w:color="auto"/>
            <w:left w:val="none" w:sz="0" w:space="0" w:color="auto"/>
            <w:bottom w:val="none" w:sz="0" w:space="0" w:color="auto"/>
            <w:right w:val="none" w:sz="0" w:space="0" w:color="auto"/>
          </w:divBdr>
        </w:div>
        <w:div w:id="193009172">
          <w:marLeft w:val="0"/>
          <w:marRight w:val="0"/>
          <w:marTop w:val="0"/>
          <w:marBottom w:val="0"/>
          <w:divBdr>
            <w:top w:val="none" w:sz="0" w:space="0" w:color="auto"/>
            <w:left w:val="none" w:sz="0" w:space="0" w:color="auto"/>
            <w:bottom w:val="none" w:sz="0" w:space="0" w:color="auto"/>
            <w:right w:val="none" w:sz="0" w:space="0" w:color="auto"/>
          </w:divBdr>
        </w:div>
        <w:div w:id="277688862">
          <w:marLeft w:val="0"/>
          <w:marRight w:val="0"/>
          <w:marTop w:val="0"/>
          <w:marBottom w:val="0"/>
          <w:divBdr>
            <w:top w:val="none" w:sz="0" w:space="0" w:color="auto"/>
            <w:left w:val="none" w:sz="0" w:space="0" w:color="auto"/>
            <w:bottom w:val="none" w:sz="0" w:space="0" w:color="auto"/>
            <w:right w:val="none" w:sz="0" w:space="0" w:color="auto"/>
          </w:divBdr>
        </w:div>
        <w:div w:id="388112640">
          <w:marLeft w:val="0"/>
          <w:marRight w:val="0"/>
          <w:marTop w:val="0"/>
          <w:marBottom w:val="0"/>
          <w:divBdr>
            <w:top w:val="none" w:sz="0" w:space="0" w:color="auto"/>
            <w:left w:val="none" w:sz="0" w:space="0" w:color="auto"/>
            <w:bottom w:val="none" w:sz="0" w:space="0" w:color="auto"/>
            <w:right w:val="none" w:sz="0" w:space="0" w:color="auto"/>
          </w:divBdr>
        </w:div>
        <w:div w:id="440997949">
          <w:marLeft w:val="0"/>
          <w:marRight w:val="0"/>
          <w:marTop w:val="0"/>
          <w:marBottom w:val="0"/>
          <w:divBdr>
            <w:top w:val="none" w:sz="0" w:space="0" w:color="auto"/>
            <w:left w:val="none" w:sz="0" w:space="0" w:color="auto"/>
            <w:bottom w:val="none" w:sz="0" w:space="0" w:color="auto"/>
            <w:right w:val="none" w:sz="0" w:space="0" w:color="auto"/>
          </w:divBdr>
        </w:div>
        <w:div w:id="915287442">
          <w:marLeft w:val="0"/>
          <w:marRight w:val="0"/>
          <w:marTop w:val="0"/>
          <w:marBottom w:val="0"/>
          <w:divBdr>
            <w:top w:val="none" w:sz="0" w:space="0" w:color="auto"/>
            <w:left w:val="none" w:sz="0" w:space="0" w:color="auto"/>
            <w:bottom w:val="none" w:sz="0" w:space="0" w:color="auto"/>
            <w:right w:val="none" w:sz="0" w:space="0" w:color="auto"/>
          </w:divBdr>
        </w:div>
        <w:div w:id="1250504301">
          <w:marLeft w:val="0"/>
          <w:marRight w:val="0"/>
          <w:marTop w:val="0"/>
          <w:marBottom w:val="0"/>
          <w:divBdr>
            <w:top w:val="none" w:sz="0" w:space="0" w:color="auto"/>
            <w:left w:val="none" w:sz="0" w:space="0" w:color="auto"/>
            <w:bottom w:val="none" w:sz="0" w:space="0" w:color="auto"/>
            <w:right w:val="none" w:sz="0" w:space="0" w:color="auto"/>
          </w:divBdr>
        </w:div>
        <w:div w:id="1342319429">
          <w:marLeft w:val="0"/>
          <w:marRight w:val="0"/>
          <w:marTop w:val="0"/>
          <w:marBottom w:val="0"/>
          <w:divBdr>
            <w:top w:val="none" w:sz="0" w:space="0" w:color="auto"/>
            <w:left w:val="none" w:sz="0" w:space="0" w:color="auto"/>
            <w:bottom w:val="none" w:sz="0" w:space="0" w:color="auto"/>
            <w:right w:val="none" w:sz="0" w:space="0" w:color="auto"/>
          </w:divBdr>
        </w:div>
        <w:div w:id="2087727913">
          <w:marLeft w:val="0"/>
          <w:marRight w:val="0"/>
          <w:marTop w:val="0"/>
          <w:marBottom w:val="0"/>
          <w:divBdr>
            <w:top w:val="none" w:sz="0" w:space="0" w:color="auto"/>
            <w:left w:val="none" w:sz="0" w:space="0" w:color="auto"/>
            <w:bottom w:val="none" w:sz="0" w:space="0" w:color="auto"/>
            <w:right w:val="none" w:sz="0" w:space="0" w:color="auto"/>
          </w:divBdr>
        </w:div>
      </w:divsChild>
    </w:div>
    <w:div w:id="1394767720">
      <w:bodyDiv w:val="1"/>
      <w:marLeft w:val="0"/>
      <w:marRight w:val="0"/>
      <w:marTop w:val="0"/>
      <w:marBottom w:val="0"/>
      <w:divBdr>
        <w:top w:val="none" w:sz="0" w:space="0" w:color="auto"/>
        <w:left w:val="none" w:sz="0" w:space="0" w:color="auto"/>
        <w:bottom w:val="none" w:sz="0" w:space="0" w:color="auto"/>
        <w:right w:val="none" w:sz="0" w:space="0" w:color="auto"/>
      </w:divBdr>
      <w:divsChild>
        <w:div w:id="747575150">
          <w:marLeft w:val="0"/>
          <w:marRight w:val="0"/>
          <w:marTop w:val="0"/>
          <w:marBottom w:val="0"/>
          <w:divBdr>
            <w:top w:val="none" w:sz="0" w:space="0" w:color="auto"/>
            <w:left w:val="none" w:sz="0" w:space="0" w:color="auto"/>
            <w:bottom w:val="none" w:sz="0" w:space="0" w:color="auto"/>
            <w:right w:val="none" w:sz="0" w:space="0" w:color="auto"/>
          </w:divBdr>
        </w:div>
        <w:div w:id="837116502">
          <w:marLeft w:val="0"/>
          <w:marRight w:val="0"/>
          <w:marTop w:val="0"/>
          <w:marBottom w:val="0"/>
          <w:divBdr>
            <w:top w:val="none" w:sz="0" w:space="0" w:color="auto"/>
            <w:left w:val="none" w:sz="0" w:space="0" w:color="auto"/>
            <w:bottom w:val="none" w:sz="0" w:space="0" w:color="auto"/>
            <w:right w:val="none" w:sz="0" w:space="0" w:color="auto"/>
          </w:divBdr>
        </w:div>
        <w:div w:id="967474503">
          <w:marLeft w:val="0"/>
          <w:marRight w:val="0"/>
          <w:marTop w:val="0"/>
          <w:marBottom w:val="0"/>
          <w:divBdr>
            <w:top w:val="none" w:sz="0" w:space="0" w:color="auto"/>
            <w:left w:val="none" w:sz="0" w:space="0" w:color="auto"/>
            <w:bottom w:val="none" w:sz="0" w:space="0" w:color="auto"/>
            <w:right w:val="none" w:sz="0" w:space="0" w:color="auto"/>
          </w:divBdr>
        </w:div>
        <w:div w:id="1821383777">
          <w:marLeft w:val="0"/>
          <w:marRight w:val="0"/>
          <w:marTop w:val="0"/>
          <w:marBottom w:val="0"/>
          <w:divBdr>
            <w:top w:val="none" w:sz="0" w:space="0" w:color="auto"/>
            <w:left w:val="none" w:sz="0" w:space="0" w:color="auto"/>
            <w:bottom w:val="none" w:sz="0" w:space="0" w:color="auto"/>
            <w:right w:val="none" w:sz="0" w:space="0" w:color="auto"/>
          </w:divBdr>
        </w:div>
      </w:divsChild>
    </w:div>
    <w:div w:id="1506743872">
      <w:bodyDiv w:val="1"/>
      <w:marLeft w:val="0"/>
      <w:marRight w:val="0"/>
      <w:marTop w:val="0"/>
      <w:marBottom w:val="0"/>
      <w:divBdr>
        <w:top w:val="none" w:sz="0" w:space="0" w:color="auto"/>
        <w:left w:val="none" w:sz="0" w:space="0" w:color="auto"/>
        <w:bottom w:val="none" w:sz="0" w:space="0" w:color="auto"/>
        <w:right w:val="none" w:sz="0" w:space="0" w:color="auto"/>
      </w:divBdr>
      <w:divsChild>
        <w:div w:id="671488398">
          <w:marLeft w:val="0"/>
          <w:marRight w:val="0"/>
          <w:marTop w:val="0"/>
          <w:marBottom w:val="0"/>
          <w:divBdr>
            <w:top w:val="none" w:sz="0" w:space="0" w:color="auto"/>
            <w:left w:val="none" w:sz="0" w:space="0" w:color="auto"/>
            <w:bottom w:val="none" w:sz="0" w:space="0" w:color="auto"/>
            <w:right w:val="none" w:sz="0" w:space="0" w:color="auto"/>
          </w:divBdr>
        </w:div>
        <w:div w:id="763494918">
          <w:marLeft w:val="0"/>
          <w:marRight w:val="0"/>
          <w:marTop w:val="0"/>
          <w:marBottom w:val="0"/>
          <w:divBdr>
            <w:top w:val="none" w:sz="0" w:space="0" w:color="auto"/>
            <w:left w:val="none" w:sz="0" w:space="0" w:color="auto"/>
            <w:bottom w:val="none" w:sz="0" w:space="0" w:color="auto"/>
            <w:right w:val="none" w:sz="0" w:space="0" w:color="auto"/>
          </w:divBdr>
        </w:div>
      </w:divsChild>
    </w:div>
    <w:div w:id="1985892551">
      <w:bodyDiv w:val="1"/>
      <w:marLeft w:val="0"/>
      <w:marRight w:val="0"/>
      <w:marTop w:val="0"/>
      <w:marBottom w:val="0"/>
      <w:divBdr>
        <w:top w:val="none" w:sz="0" w:space="0" w:color="auto"/>
        <w:left w:val="none" w:sz="0" w:space="0" w:color="auto"/>
        <w:bottom w:val="none" w:sz="0" w:space="0" w:color="auto"/>
        <w:right w:val="none" w:sz="0" w:space="0" w:color="auto"/>
      </w:divBdr>
      <w:divsChild>
        <w:div w:id="27143655">
          <w:marLeft w:val="0"/>
          <w:marRight w:val="0"/>
          <w:marTop w:val="0"/>
          <w:marBottom w:val="0"/>
          <w:divBdr>
            <w:top w:val="none" w:sz="0" w:space="0" w:color="auto"/>
            <w:left w:val="none" w:sz="0" w:space="0" w:color="auto"/>
            <w:bottom w:val="none" w:sz="0" w:space="0" w:color="auto"/>
            <w:right w:val="none" w:sz="0" w:space="0" w:color="auto"/>
          </w:divBdr>
        </w:div>
        <w:div w:id="287124266">
          <w:marLeft w:val="0"/>
          <w:marRight w:val="0"/>
          <w:marTop w:val="0"/>
          <w:marBottom w:val="0"/>
          <w:divBdr>
            <w:top w:val="none" w:sz="0" w:space="0" w:color="auto"/>
            <w:left w:val="none" w:sz="0" w:space="0" w:color="auto"/>
            <w:bottom w:val="none" w:sz="0" w:space="0" w:color="auto"/>
            <w:right w:val="none" w:sz="0" w:space="0" w:color="auto"/>
          </w:divBdr>
        </w:div>
        <w:div w:id="306738813">
          <w:marLeft w:val="0"/>
          <w:marRight w:val="0"/>
          <w:marTop w:val="0"/>
          <w:marBottom w:val="0"/>
          <w:divBdr>
            <w:top w:val="none" w:sz="0" w:space="0" w:color="auto"/>
            <w:left w:val="none" w:sz="0" w:space="0" w:color="auto"/>
            <w:bottom w:val="none" w:sz="0" w:space="0" w:color="auto"/>
            <w:right w:val="none" w:sz="0" w:space="0" w:color="auto"/>
          </w:divBdr>
        </w:div>
        <w:div w:id="495540340">
          <w:marLeft w:val="0"/>
          <w:marRight w:val="0"/>
          <w:marTop w:val="0"/>
          <w:marBottom w:val="0"/>
          <w:divBdr>
            <w:top w:val="none" w:sz="0" w:space="0" w:color="auto"/>
            <w:left w:val="none" w:sz="0" w:space="0" w:color="auto"/>
            <w:bottom w:val="none" w:sz="0" w:space="0" w:color="auto"/>
            <w:right w:val="none" w:sz="0" w:space="0" w:color="auto"/>
          </w:divBdr>
        </w:div>
        <w:div w:id="1256401832">
          <w:marLeft w:val="0"/>
          <w:marRight w:val="0"/>
          <w:marTop w:val="0"/>
          <w:marBottom w:val="0"/>
          <w:divBdr>
            <w:top w:val="none" w:sz="0" w:space="0" w:color="auto"/>
            <w:left w:val="none" w:sz="0" w:space="0" w:color="auto"/>
            <w:bottom w:val="none" w:sz="0" w:space="0" w:color="auto"/>
            <w:right w:val="none" w:sz="0" w:space="0" w:color="auto"/>
          </w:divBdr>
        </w:div>
        <w:div w:id="1579942212">
          <w:marLeft w:val="0"/>
          <w:marRight w:val="0"/>
          <w:marTop w:val="0"/>
          <w:marBottom w:val="0"/>
          <w:divBdr>
            <w:top w:val="none" w:sz="0" w:space="0" w:color="auto"/>
            <w:left w:val="none" w:sz="0" w:space="0" w:color="auto"/>
            <w:bottom w:val="none" w:sz="0" w:space="0" w:color="auto"/>
            <w:right w:val="none" w:sz="0" w:space="0" w:color="auto"/>
          </w:divBdr>
        </w:div>
        <w:div w:id="1642539564">
          <w:marLeft w:val="0"/>
          <w:marRight w:val="0"/>
          <w:marTop w:val="0"/>
          <w:marBottom w:val="0"/>
          <w:divBdr>
            <w:top w:val="none" w:sz="0" w:space="0" w:color="auto"/>
            <w:left w:val="none" w:sz="0" w:space="0" w:color="auto"/>
            <w:bottom w:val="none" w:sz="0" w:space="0" w:color="auto"/>
            <w:right w:val="none" w:sz="0" w:space="0" w:color="auto"/>
          </w:divBdr>
        </w:div>
        <w:div w:id="1827673022">
          <w:marLeft w:val="0"/>
          <w:marRight w:val="0"/>
          <w:marTop w:val="0"/>
          <w:marBottom w:val="0"/>
          <w:divBdr>
            <w:top w:val="none" w:sz="0" w:space="0" w:color="auto"/>
            <w:left w:val="none" w:sz="0" w:space="0" w:color="auto"/>
            <w:bottom w:val="none" w:sz="0" w:space="0" w:color="auto"/>
            <w:right w:val="none" w:sz="0" w:space="0" w:color="auto"/>
          </w:divBdr>
        </w:div>
        <w:div w:id="2112579810">
          <w:marLeft w:val="0"/>
          <w:marRight w:val="0"/>
          <w:marTop w:val="0"/>
          <w:marBottom w:val="0"/>
          <w:divBdr>
            <w:top w:val="none" w:sz="0" w:space="0" w:color="auto"/>
            <w:left w:val="none" w:sz="0" w:space="0" w:color="auto"/>
            <w:bottom w:val="none" w:sz="0" w:space="0" w:color="auto"/>
            <w:right w:val="none" w:sz="0" w:space="0" w:color="auto"/>
          </w:divBdr>
        </w:div>
      </w:divsChild>
    </w:div>
    <w:div w:id="2091846146">
      <w:bodyDiv w:val="1"/>
      <w:marLeft w:val="0"/>
      <w:marRight w:val="0"/>
      <w:marTop w:val="0"/>
      <w:marBottom w:val="0"/>
      <w:divBdr>
        <w:top w:val="none" w:sz="0" w:space="0" w:color="auto"/>
        <w:left w:val="none" w:sz="0" w:space="0" w:color="auto"/>
        <w:bottom w:val="none" w:sz="0" w:space="0" w:color="auto"/>
        <w:right w:val="none" w:sz="0" w:space="0" w:color="auto"/>
      </w:divBdr>
      <w:divsChild>
        <w:div w:id="1557818936">
          <w:marLeft w:val="0"/>
          <w:marRight w:val="0"/>
          <w:marTop w:val="0"/>
          <w:marBottom w:val="0"/>
          <w:divBdr>
            <w:top w:val="none" w:sz="0" w:space="0" w:color="auto"/>
            <w:left w:val="none" w:sz="0" w:space="0" w:color="auto"/>
            <w:bottom w:val="none" w:sz="0" w:space="0" w:color="auto"/>
            <w:right w:val="none" w:sz="0" w:space="0" w:color="auto"/>
          </w:divBdr>
        </w:div>
        <w:div w:id="173285194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br/senappen/pt-br/assuntos/noticias/depen-divulga-relatorio-previo-de-estudo-inedito-sobre-reincidencia-criminal-no-brasil/reincidencia-criminal-no-brasil-2022.pdf/view"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v.br/senappen/pt-br/assuntos/noticias/depen-divulga-relatorio-previo-de-estudo-inedito-sobre-reincidencia-criminal-no-brasil/reincidencia-criminal-no-brasil-2022.pdf/@@download/fil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lanalto.gov.br/ccivil_03/constituicao/constituicao.ht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f0c2603-83a2-4242-9f6b-3a11012f6f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3D0F49BB4FC2C46BCC547D7FFE0B93A" ma:contentTypeVersion="10" ma:contentTypeDescription="Crie um novo documento." ma:contentTypeScope="" ma:versionID="d048ed298789aa140d2d4c3d54d8c818">
  <xsd:schema xmlns:xsd="http://www.w3.org/2001/XMLSchema" xmlns:xs="http://www.w3.org/2001/XMLSchema" xmlns:p="http://schemas.microsoft.com/office/2006/metadata/properties" xmlns:ns3="7f0c2603-83a2-4242-9f6b-3a11012f6f7c" targetNamespace="http://schemas.microsoft.com/office/2006/metadata/properties" ma:root="true" ma:fieldsID="d2096cc2a795095a2d3072af82cfeb5e" ns3:_="">
    <xsd:import namespace="7f0c2603-83a2-4242-9f6b-3a11012f6f7c"/>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0c2603-83a2-4242-9f6b-3a11012f6f7c"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0B95F-35F2-40C5-A460-F01DC9EE9249}">
  <ds:schemaRefs>
    <ds:schemaRef ds:uri="http://schemas.microsoft.com/sharepoint/v3/contenttype/forms"/>
  </ds:schemaRefs>
</ds:datastoreItem>
</file>

<file path=customXml/itemProps2.xml><?xml version="1.0" encoding="utf-8"?>
<ds:datastoreItem xmlns:ds="http://schemas.openxmlformats.org/officeDocument/2006/customXml" ds:itemID="{0D8A044E-515F-4F4B-B50A-765A807BA9B3}">
  <ds:schemaRefs>
    <ds:schemaRef ds:uri="http://schemas.microsoft.com/office/2006/metadata/properties"/>
    <ds:schemaRef ds:uri="http://schemas.microsoft.com/office/infopath/2007/PartnerControls"/>
    <ds:schemaRef ds:uri="7f0c2603-83a2-4242-9f6b-3a11012f6f7c"/>
  </ds:schemaRefs>
</ds:datastoreItem>
</file>

<file path=customXml/itemProps3.xml><?xml version="1.0" encoding="utf-8"?>
<ds:datastoreItem xmlns:ds="http://schemas.openxmlformats.org/officeDocument/2006/customXml" ds:itemID="{5CDEBD3A-6238-4252-AB7F-8896DEA80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0c2603-83a2-4242-9f6b-3a11012f6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C3A1AE-1A9C-42B8-86E6-923A3DE19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3892</Words>
  <Characters>21018</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Kaline Leite</cp:lastModifiedBy>
  <cp:revision>3</cp:revision>
  <dcterms:created xsi:type="dcterms:W3CDTF">2025-07-06T20:59:00Z</dcterms:created>
  <dcterms:modified xsi:type="dcterms:W3CDTF">2025-07-06T21:32:00Z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0x010100C3D0F49BB4FC2C46BCC547D7FFE0B93A</vt:lpwstr>
  </property>
</Properties>
</file>