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3F3" w:rsidRDefault="005F23F3" w:rsidP="005F23F3">
      <w:pPr>
        <w:pStyle w:val="NormalWeb"/>
        <w:spacing w:before="0" w:beforeAutospacing="0" w:after="0" w:afterAutospacing="0" w:line="360" w:lineRule="auto"/>
        <w:jc w:val="center"/>
        <w:rPr>
          <w:rFonts w:ascii="Arial" w:hAnsi="Arial" w:cs="Arial"/>
          <w:color w:val="000000"/>
        </w:rPr>
      </w:pPr>
      <w:bookmarkStart w:id="0" w:name="_GoBack"/>
      <w:bookmarkEnd w:id="0"/>
      <w:r w:rsidRPr="005F23F3">
        <w:rPr>
          <w:rFonts w:ascii="Arial" w:hAnsi="Arial" w:cs="Arial"/>
          <w:b/>
        </w:rPr>
        <w:t xml:space="preserve">A SELETIVIDADE RACIAL DA VIOLÊNCIA POLICIAL NO BRASIL: </w:t>
      </w:r>
      <w:r w:rsidRPr="005F23F3">
        <w:rPr>
          <w:rFonts w:ascii="Arial" w:hAnsi="Arial" w:cs="Arial"/>
          <w:color w:val="000000"/>
        </w:rPr>
        <w:t>análise crítica à luz do racismo estrutural e do sistema penal</w:t>
      </w:r>
    </w:p>
    <w:p w:rsidR="007D7DA3" w:rsidRDefault="007D7DA3" w:rsidP="007D7DA3">
      <w:pPr>
        <w:pStyle w:val="NormalWeb"/>
        <w:spacing w:before="0" w:beforeAutospacing="0" w:after="0" w:afterAutospacing="0" w:line="360" w:lineRule="auto"/>
        <w:jc w:val="right"/>
        <w:rPr>
          <w:rFonts w:ascii="Arial" w:hAnsi="Arial" w:cs="Arial"/>
        </w:rPr>
      </w:pPr>
      <w:r>
        <w:rPr>
          <w:rFonts w:ascii="Arial" w:hAnsi="Arial" w:cs="Arial"/>
        </w:rPr>
        <w:t>Catharina Rachel Pereira Cardoso</w:t>
      </w:r>
      <w:r>
        <w:rPr>
          <w:rStyle w:val="Refdenotaderodap"/>
          <w:rFonts w:ascii="Arial" w:hAnsi="Arial" w:cs="Arial"/>
        </w:rPr>
        <w:footnoteReference w:id="1"/>
      </w:r>
    </w:p>
    <w:p w:rsidR="007D7DA3" w:rsidRDefault="007D7DA3" w:rsidP="007D7DA3">
      <w:pPr>
        <w:pStyle w:val="NormalWeb"/>
        <w:spacing w:before="0" w:beforeAutospacing="0" w:after="0" w:afterAutospacing="0" w:line="360" w:lineRule="auto"/>
        <w:jc w:val="right"/>
        <w:rPr>
          <w:rFonts w:ascii="Arial" w:hAnsi="Arial" w:cs="Arial"/>
        </w:rPr>
      </w:pPr>
      <w:r>
        <w:rPr>
          <w:rFonts w:ascii="Arial" w:hAnsi="Arial" w:cs="Arial"/>
        </w:rPr>
        <w:t>Pedro Ennos Carvalho Rocha</w:t>
      </w:r>
      <w:r>
        <w:rPr>
          <w:rStyle w:val="Refdenotaderodap"/>
          <w:rFonts w:ascii="Arial" w:hAnsi="Arial" w:cs="Arial"/>
        </w:rPr>
        <w:footnoteReference w:id="2"/>
      </w:r>
    </w:p>
    <w:p w:rsidR="007D7DA3" w:rsidRPr="005F23F3" w:rsidRDefault="007D7DA3" w:rsidP="007D7DA3">
      <w:pPr>
        <w:pStyle w:val="NormalWeb"/>
        <w:spacing w:before="0" w:beforeAutospacing="0" w:after="0" w:afterAutospacing="0" w:line="360" w:lineRule="auto"/>
        <w:jc w:val="right"/>
        <w:rPr>
          <w:rFonts w:ascii="Arial" w:hAnsi="Arial" w:cs="Arial"/>
        </w:rPr>
      </w:pPr>
      <w:r>
        <w:rPr>
          <w:rFonts w:ascii="Arial" w:hAnsi="Arial" w:cs="Arial"/>
        </w:rPr>
        <w:t>Rayssa Mikaelle Lima dos Santos</w:t>
      </w:r>
      <w:r>
        <w:rPr>
          <w:rStyle w:val="Refdenotaderodap"/>
          <w:rFonts w:ascii="Arial" w:hAnsi="Arial" w:cs="Arial"/>
        </w:rPr>
        <w:footnoteReference w:id="3"/>
      </w:r>
    </w:p>
    <w:p w:rsidR="005F23F3" w:rsidRPr="005F23F3" w:rsidRDefault="005F23F3" w:rsidP="004F776F">
      <w:pPr>
        <w:spacing w:line="360" w:lineRule="auto"/>
        <w:jc w:val="center"/>
        <w:rPr>
          <w:sz w:val="24"/>
          <w:szCs w:val="24"/>
        </w:rPr>
      </w:pPr>
    </w:p>
    <w:p w:rsidR="004F776F" w:rsidRDefault="004F776F" w:rsidP="004F776F">
      <w:pPr>
        <w:spacing w:line="240" w:lineRule="auto"/>
        <w:ind w:left="2835"/>
        <w:jc w:val="both"/>
        <w:rPr>
          <w:b/>
          <w:sz w:val="20"/>
          <w:szCs w:val="20"/>
        </w:rPr>
      </w:pPr>
    </w:p>
    <w:p w:rsidR="005C4655" w:rsidRDefault="005C4655" w:rsidP="004F776F">
      <w:pPr>
        <w:spacing w:line="240" w:lineRule="auto"/>
        <w:ind w:left="2835"/>
        <w:jc w:val="both"/>
        <w:rPr>
          <w:b/>
          <w:sz w:val="20"/>
          <w:szCs w:val="20"/>
        </w:rPr>
      </w:pPr>
    </w:p>
    <w:p w:rsidR="005F23F3" w:rsidRPr="005F23F3" w:rsidRDefault="005F23F3" w:rsidP="005F23F3">
      <w:pPr>
        <w:spacing w:line="240" w:lineRule="auto"/>
        <w:ind w:left="2835"/>
        <w:jc w:val="both"/>
        <w:rPr>
          <w:rFonts w:ascii="Times New Roman" w:eastAsia="Times New Roman" w:hAnsi="Times New Roman" w:cs="Times New Roman"/>
          <w:sz w:val="24"/>
          <w:szCs w:val="24"/>
        </w:rPr>
      </w:pPr>
      <w:r w:rsidRPr="005F23F3">
        <w:rPr>
          <w:rFonts w:eastAsia="Times New Roman"/>
          <w:b/>
          <w:bCs/>
          <w:color w:val="000000"/>
          <w:sz w:val="20"/>
          <w:szCs w:val="20"/>
        </w:rPr>
        <w:t>Resumo</w:t>
      </w:r>
    </w:p>
    <w:p w:rsidR="005F23F3" w:rsidRPr="005F23F3" w:rsidRDefault="005F23F3" w:rsidP="005F23F3">
      <w:pPr>
        <w:spacing w:line="240" w:lineRule="auto"/>
        <w:ind w:left="2835"/>
        <w:jc w:val="both"/>
        <w:rPr>
          <w:rFonts w:ascii="Times New Roman" w:eastAsia="Times New Roman" w:hAnsi="Times New Roman" w:cs="Times New Roman"/>
          <w:sz w:val="24"/>
          <w:szCs w:val="24"/>
        </w:rPr>
      </w:pPr>
      <w:r w:rsidRPr="005F23F3">
        <w:rPr>
          <w:rFonts w:eastAsia="Times New Roman"/>
          <w:color w:val="000000"/>
          <w:sz w:val="20"/>
          <w:szCs w:val="20"/>
        </w:rPr>
        <w:t>O artigo examina como o racismo estrutural molda a violência policial e o sistema penal brasileiro, criando um padrão seletivo que vitimiza desproporcionalmente a população negra. A partir de referenciais teóricos como Silvio Almeida e Achille Mbembe, evidencia-se que a seletividade penal não é falha, mas um projeto político que legitima a criminalização de corpos negros. Dados revelam que mais de 80% dos mortos pela polícia em 2023 eram negros, expondo um genocídio silencioso sustentado por estigmas históricos e reforçado pela mídia. Conclui-se que o Brasil perpetua, por meio de suas instituições, a herança da escravidão, tornando a cor da pele o principal critério para a violência estatal, o que compromete a democracia e exige urgente reforma estrutural.</w:t>
      </w:r>
    </w:p>
    <w:p w:rsidR="005F23F3" w:rsidRPr="005F23F3" w:rsidRDefault="005F23F3" w:rsidP="005F23F3">
      <w:pPr>
        <w:spacing w:line="240" w:lineRule="auto"/>
        <w:ind w:left="2835"/>
        <w:jc w:val="both"/>
        <w:rPr>
          <w:rFonts w:ascii="Times New Roman" w:eastAsia="Times New Roman" w:hAnsi="Times New Roman" w:cs="Times New Roman"/>
          <w:sz w:val="24"/>
          <w:szCs w:val="24"/>
        </w:rPr>
      </w:pPr>
      <w:r w:rsidRPr="005F23F3">
        <w:rPr>
          <w:rFonts w:eastAsia="Times New Roman"/>
          <w:b/>
          <w:bCs/>
          <w:color w:val="000000"/>
          <w:sz w:val="20"/>
          <w:szCs w:val="20"/>
        </w:rPr>
        <w:t>Palavras-chave</w:t>
      </w:r>
      <w:r w:rsidRPr="005F23F3">
        <w:rPr>
          <w:rFonts w:eastAsia="Times New Roman"/>
          <w:color w:val="000000"/>
          <w:sz w:val="20"/>
          <w:szCs w:val="20"/>
        </w:rPr>
        <w:t>: Racismo estrutural; seletividade penal; violência policial.</w:t>
      </w:r>
    </w:p>
    <w:p w:rsidR="005F23F3" w:rsidRPr="005F23F3" w:rsidRDefault="005F23F3" w:rsidP="005F23F3">
      <w:pPr>
        <w:spacing w:line="240" w:lineRule="auto"/>
        <w:rPr>
          <w:rFonts w:ascii="Times New Roman" w:eastAsia="Times New Roman" w:hAnsi="Times New Roman" w:cs="Times New Roman"/>
          <w:sz w:val="24"/>
          <w:szCs w:val="24"/>
        </w:rPr>
      </w:pPr>
    </w:p>
    <w:p w:rsidR="005F23F3" w:rsidRPr="005F23F3" w:rsidRDefault="005F23F3" w:rsidP="005F23F3">
      <w:pPr>
        <w:spacing w:line="240" w:lineRule="auto"/>
        <w:ind w:left="2835"/>
        <w:jc w:val="both"/>
        <w:rPr>
          <w:rFonts w:ascii="Times New Roman" w:eastAsia="Times New Roman" w:hAnsi="Times New Roman" w:cs="Times New Roman"/>
          <w:sz w:val="24"/>
          <w:szCs w:val="24"/>
        </w:rPr>
      </w:pPr>
      <w:r w:rsidRPr="005F23F3">
        <w:rPr>
          <w:rFonts w:eastAsia="Times New Roman"/>
          <w:b/>
          <w:bCs/>
          <w:color w:val="000000"/>
          <w:sz w:val="20"/>
          <w:szCs w:val="20"/>
        </w:rPr>
        <w:t>Abstract</w:t>
      </w:r>
    </w:p>
    <w:p w:rsidR="005F23F3" w:rsidRPr="005F23F3" w:rsidRDefault="005F23F3" w:rsidP="005F23F3">
      <w:pPr>
        <w:spacing w:line="240" w:lineRule="auto"/>
        <w:ind w:left="2835"/>
        <w:jc w:val="both"/>
        <w:rPr>
          <w:rFonts w:ascii="Times New Roman" w:eastAsia="Times New Roman" w:hAnsi="Times New Roman" w:cs="Times New Roman"/>
          <w:sz w:val="24"/>
          <w:szCs w:val="24"/>
        </w:rPr>
      </w:pPr>
      <w:r w:rsidRPr="005F23F3">
        <w:rPr>
          <w:rFonts w:eastAsia="Times New Roman"/>
          <w:color w:val="000000"/>
          <w:sz w:val="20"/>
          <w:szCs w:val="20"/>
        </w:rPr>
        <w:t>The article examines how structural racism shapes police violence and the Brazilian penal system, creating a selective pattern that disproportionately victimizes the black population. Using theoretical references such as Silvio Almeida and Achille Mbembe, it shows that penal selectivity is not a flaw, but a political project that legitimizes the criminalization of black bodies. Data shows that more than 80% of those killed by the police in 2023 were black, exposing a silent genocide sustained by historical stigmas and reinforced by the media. In conclusion, Brazil is perpetuating the legacy of slavery through its institutions, making skin color the main criterion for state violence, which undermines democracy and calls for urgent structural reform.</w:t>
      </w:r>
    </w:p>
    <w:p w:rsidR="007D7DA3" w:rsidRPr="007D7DA3" w:rsidRDefault="005F23F3" w:rsidP="007D7DA3">
      <w:pPr>
        <w:spacing w:line="240" w:lineRule="auto"/>
        <w:ind w:left="2835"/>
        <w:jc w:val="both"/>
        <w:rPr>
          <w:rFonts w:ascii="Times New Roman" w:eastAsia="Times New Roman" w:hAnsi="Times New Roman" w:cs="Times New Roman"/>
          <w:sz w:val="24"/>
          <w:szCs w:val="24"/>
        </w:rPr>
      </w:pPr>
      <w:r w:rsidRPr="005F23F3">
        <w:rPr>
          <w:rFonts w:eastAsia="Times New Roman"/>
          <w:b/>
          <w:bCs/>
          <w:color w:val="000000"/>
          <w:sz w:val="20"/>
          <w:szCs w:val="20"/>
        </w:rPr>
        <w:t>Keywords</w:t>
      </w:r>
      <w:r w:rsidRPr="005F23F3">
        <w:rPr>
          <w:rFonts w:eastAsia="Times New Roman"/>
          <w:color w:val="000000"/>
          <w:sz w:val="20"/>
          <w:szCs w:val="20"/>
        </w:rPr>
        <w:t>: Structural racism; penal selectivity; police violence.</w:t>
      </w:r>
    </w:p>
    <w:p w:rsidR="007D7DA3" w:rsidRDefault="007D7DA3" w:rsidP="00F2735F">
      <w:pPr>
        <w:spacing w:line="360" w:lineRule="auto"/>
        <w:rPr>
          <w:sz w:val="20"/>
          <w:szCs w:val="20"/>
        </w:rPr>
      </w:pPr>
    </w:p>
    <w:p w:rsidR="007D7DA3" w:rsidRDefault="007D7DA3" w:rsidP="00F2735F">
      <w:pPr>
        <w:spacing w:line="360" w:lineRule="auto"/>
        <w:rPr>
          <w:sz w:val="20"/>
          <w:szCs w:val="20"/>
        </w:rPr>
      </w:pPr>
    </w:p>
    <w:p w:rsidR="007D7DA3" w:rsidRDefault="007D7DA3" w:rsidP="00F2735F">
      <w:pPr>
        <w:spacing w:line="360" w:lineRule="auto"/>
        <w:rPr>
          <w:sz w:val="20"/>
          <w:szCs w:val="20"/>
        </w:rPr>
      </w:pPr>
    </w:p>
    <w:p w:rsidR="007D7DA3" w:rsidRDefault="007D7DA3" w:rsidP="00F2735F">
      <w:pPr>
        <w:spacing w:line="360" w:lineRule="auto"/>
        <w:rPr>
          <w:sz w:val="20"/>
          <w:szCs w:val="20"/>
        </w:rPr>
      </w:pPr>
    </w:p>
    <w:p w:rsidR="004F776F" w:rsidRDefault="004F776F" w:rsidP="00F2735F">
      <w:pPr>
        <w:spacing w:line="360" w:lineRule="auto"/>
        <w:rPr>
          <w:b/>
          <w:sz w:val="24"/>
          <w:szCs w:val="24"/>
        </w:rPr>
      </w:pPr>
      <w:r>
        <w:rPr>
          <w:b/>
          <w:sz w:val="24"/>
          <w:szCs w:val="24"/>
        </w:rPr>
        <w:t>1</w:t>
      </w:r>
      <w:r>
        <w:rPr>
          <w:b/>
          <w:sz w:val="24"/>
          <w:szCs w:val="24"/>
        </w:rPr>
        <w:tab/>
        <w:t>INTRODUÇÃO</w:t>
      </w:r>
    </w:p>
    <w:p w:rsidR="004F776F" w:rsidRDefault="004F776F" w:rsidP="00F2735F">
      <w:pPr>
        <w:spacing w:line="360" w:lineRule="auto"/>
        <w:jc w:val="both"/>
        <w:rPr>
          <w:sz w:val="24"/>
          <w:szCs w:val="24"/>
        </w:rPr>
      </w:pPr>
    </w:p>
    <w:p w:rsidR="005F23F3" w:rsidRDefault="005F23F3" w:rsidP="005F23F3">
      <w:pPr>
        <w:pStyle w:val="NormalWeb"/>
        <w:spacing w:before="0" w:beforeAutospacing="0" w:after="0" w:afterAutospacing="0" w:line="360" w:lineRule="auto"/>
        <w:ind w:firstLine="709"/>
        <w:jc w:val="both"/>
      </w:pPr>
      <w:r>
        <w:rPr>
          <w:rStyle w:val="apple-tab-span"/>
          <w:rFonts w:ascii="Arial" w:hAnsi="Arial" w:cs="Arial"/>
          <w:color w:val="000000"/>
        </w:rPr>
        <w:tab/>
      </w:r>
      <w:r>
        <w:rPr>
          <w:rFonts w:ascii="Arial" w:hAnsi="Arial" w:cs="Arial"/>
          <w:color w:val="000000"/>
        </w:rPr>
        <w:t>Diante da publicação da Lei Áurea em 1888, os ex-escravizados alcançaram a liberdade, contudo, sem nenhum amparo estatal por meio de políticas públicas. Nessa perspectiva, os negros continuaram marginalizados na sociedade, entretanto, sem trabalho e, consequentemente, sem nenhuma fonte de renda. A partir desse cenário histórico, o filósofo e advogado Silvio Almeida (2019) popularizou o termo “racismo estrutural”, compreendido por ser um instrumento de reprodução de comportamentos racistas enraizados na sociedade, que se materializa em diversos setores, como econômico, social e educacional. </w:t>
      </w:r>
    </w:p>
    <w:p w:rsidR="005F23F3" w:rsidRDefault="005F23F3" w:rsidP="005F23F3">
      <w:pPr>
        <w:pStyle w:val="NormalWeb"/>
        <w:spacing w:before="0" w:beforeAutospacing="0" w:after="0" w:afterAutospacing="0" w:line="360" w:lineRule="auto"/>
        <w:ind w:firstLine="709"/>
        <w:jc w:val="both"/>
      </w:pPr>
      <w:r>
        <w:rPr>
          <w:rStyle w:val="apple-tab-span"/>
          <w:rFonts w:ascii="Arial" w:hAnsi="Arial" w:cs="Arial"/>
          <w:color w:val="000000"/>
        </w:rPr>
        <w:tab/>
      </w:r>
      <w:r>
        <w:rPr>
          <w:rFonts w:ascii="Arial" w:hAnsi="Arial" w:cs="Arial"/>
          <w:color w:val="000000"/>
        </w:rPr>
        <w:t>Na mesma linha de raciocínio, a partir do racismo estrutural, é imperioso evidenciar a seletividade penal e o funcionamento do punitivismo estatal na sociedade. É mister salientar que a Lei n° 11.343/2006 (Lei de Drogas) demonstra um exemplo verídico da seletividade punitivista existente no ordenamento brasileiro, haja vista que a referida Lei, na maioria das vezes, encarcera jovens negros, pobres e periféricos.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Em suma, portanto, o sistema penal age como um modelo de contenção social, negando direitos de determinada parcela da população. Nesse contexto, a violência policial contra esses indivíduos marginalizados é noticiada cotidianamente, sob a égide do combate à criminalidade e o tráfico de drogas nas comunidades. Essa violência reproduzida exacerbadamente corrobora com a discriminação racial, conservando o racismo estrutural enraizado nas instituições brasileiras. </w:t>
      </w:r>
    </w:p>
    <w:p w:rsidR="004F776F" w:rsidRDefault="004F776F" w:rsidP="00F2735F">
      <w:pPr>
        <w:spacing w:line="360" w:lineRule="auto"/>
        <w:jc w:val="both"/>
        <w:rPr>
          <w:sz w:val="24"/>
          <w:szCs w:val="24"/>
        </w:rPr>
      </w:pPr>
    </w:p>
    <w:p w:rsidR="005F23F3" w:rsidRDefault="005F23F3" w:rsidP="005F23F3">
      <w:pPr>
        <w:pStyle w:val="NormalWeb"/>
        <w:spacing w:before="0" w:beforeAutospacing="0" w:after="0" w:afterAutospacing="0"/>
        <w:jc w:val="both"/>
      </w:pPr>
      <w:r>
        <w:rPr>
          <w:rFonts w:ascii="Arial" w:hAnsi="Arial" w:cs="Arial"/>
          <w:b/>
          <w:bCs/>
          <w:color w:val="000000"/>
        </w:rPr>
        <w:t>2</w:t>
      </w:r>
      <w:r>
        <w:rPr>
          <w:rStyle w:val="apple-tab-span"/>
          <w:rFonts w:ascii="Arial" w:hAnsi="Arial" w:cs="Arial"/>
          <w:b/>
          <w:bCs/>
          <w:color w:val="000000"/>
        </w:rPr>
        <w:tab/>
      </w:r>
      <w:r>
        <w:rPr>
          <w:rFonts w:ascii="Arial" w:hAnsi="Arial" w:cs="Arial"/>
          <w:b/>
          <w:bCs/>
          <w:color w:val="000000"/>
        </w:rPr>
        <w:t>RACISMO ESTRUTURAL: FUNDAMENTOS HISTÓRICOS E TEÓRICOS</w:t>
      </w:r>
    </w:p>
    <w:p w:rsidR="004F776F" w:rsidRDefault="004F776F" w:rsidP="00F2735F">
      <w:pPr>
        <w:spacing w:line="360" w:lineRule="auto"/>
        <w:jc w:val="both"/>
        <w:rPr>
          <w:sz w:val="24"/>
          <w:szCs w:val="24"/>
        </w:rPr>
      </w:pP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É indubitável que após a promulgação da Lei Áurea em 13 de maio de 1888, dispositivo que aboliu formalmente a escravidão no Brasil, os negros não usufruíram de programas e benefícios que os inserissem no mercado de trabalho. Portanto, </w:t>
      </w:r>
      <w:r>
        <w:rPr>
          <w:rFonts w:ascii="Arial" w:hAnsi="Arial" w:cs="Arial"/>
          <w:color w:val="000000"/>
        </w:rPr>
        <w:lastRenderedPageBreak/>
        <w:t>mesmo após, aproximadamente, 388 anos de escravidão, na “libertação”, os ex-escravizados continuaram marginalizados, pois não possuíam empregos e nem outras formas de subsistência. Depreende-se, portanto, que o movimento abolicionista se caracterizou pela movimentação das classes dominantes, ou seja, “o 13 de maio foi uma tentativa de cooptação da população negra e de reafirmação do mito da democracia racial” (González, 2020).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Observa-se ainda que, muitos latifundiários e senhores de engenho, no século XIX, após a promulgação da abolição, acreditaram que aquela medida era desnecessária, afirmando ainda que a lei foi implantada de “maneira precipitada, dando margem à insubordinação e a quebra de autoridade senhorial” (Filho, 2006, p.124). Grosso modo, os ex-escravizados foram “libertados” sem nenhuma política pública para assegurar, pelo menos, ambientes para residirem.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Nessa linha de raciocínio, no livro de Clóvis Moura denominado “Dialética radical do Brasil negro”, conclui-se que a partir da abolição da escravatura, “os escravos continuavam sem nenhum direito e possibilidades de mobilidade quase igual a zero” (Moura, 2014, p. 18). Logo, sem trabalho nas cidades, a população nos campos era formada, basicamente, por “mestiços e negros livres sem terra” (Moura, 2014, p. 18). Ainda nessa mesma dinâmica, após a abolição no dia 13 de maio, o processo “diminuiu a população escrava e aumentou a de camponeses sem terra, descendentes de negros e índios - mestiços de um modo geral” (Moura, 2014, p. 18).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Nessa perspectiva, é notório que a herança cultural de inferiorização e opressão da população negra se perfaz até os dias hodiernos, manifestando-se, principalmente, na exclusão social. No livro intitulado “Racismo estrutural” (2019), Silvio Almeida apresenta como o racismo está presente na sociedade, expressando-se na política e cultura do país.</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Dando continuidade à discussão do livro supracitado, Almeida (2019) aduz que é necessário entender o racismo como um fenômeno estrutural e institucional, na medida em que se projeta de maneira consciente e, até mesmo inconsciente, pelas pessoas brancas no cotidiano, por meio de mecanismos que foram adquiridos </w:t>
      </w:r>
      <w:r>
        <w:rPr>
          <w:rFonts w:ascii="Arial" w:hAnsi="Arial" w:cs="Arial"/>
          <w:color w:val="000000"/>
        </w:rPr>
        <w:lastRenderedPageBreak/>
        <w:t>de outras gerações. Nesse sentido, o racismo utiliza-se da anuência dos sistemas jurídicos, econômicos e políticos para reprodução do modelo discriminatório e excludente.</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Tal ensinamento converge com o pensamento do filósofo camaronês Achille Mbembe, no livro “Necropolítica” (2018). O autor embasa o seu estudo no termo preconizado por Foucault, denominado “biopolítica”, na qual o Estado seleciona quais corpos devem viver e a partir disso, cunha o termo “necropolítica”, até aquele momento, inédito. Em linhas gerais, a necropolítica se consubstancia pelas maneiras que o Estado tem de selecionar quais indivíduos irão morrer, antagonizando diretamente com a biopolítica de Foucault.</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Na medida em que as instituições servem como reprodutoras de ações racistas, não há como culpá-las por essa característica, pois estas são apenas a materialização de uma estrutura social (Almeida, 2019). Por conseguinte, toda a lógica encontrou respaldo em uma política silente ao término da reprodução dessas ações. Logo, é uma espécie de reprodução acentuada, pois, “as instituições são racistas, porque a sociedade é racista” (Almeida, 2019, p. 31).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Um grande exemplo de racismo estrutural existente é a morte de jovens negros e pobres em bairros periféricos. No que tange à cobertura midiática, há sempre a propagação das frases de grande impacto, como “bandido bom é bandido morto” para esses jovens, sendo que, em algumas vezes, as pessoas assassinadas nunca tiveram envolvimento nenhum com tráfico ou qualquer outro tipo de crime. Ainda na mesma ótica, a violência policial se faz presente nessas comunidades marginalizadas, atuando de maneira brutal e agressiva. A naturalização desse tipo de violência, assim como a grande exposição midiática influencia diretamente nesses comportamentos agressivos destilados à população negra periférica.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Conforme o Boletim “Pele Alvo: mortes que revelam um padrão” (2024), a quantidade de pessoas negras mortas em 2023 por meio de intervenção estatal alcançou um percentual exorbitante, números que revelam a face do racismo estrutural na segurança pública. Conforme leciona Silvia Ramos, coordenadora do </w:t>
      </w:r>
      <w:r>
        <w:rPr>
          <w:rFonts w:ascii="Arial" w:hAnsi="Arial" w:cs="Arial"/>
          <w:color w:val="000000"/>
        </w:rPr>
        <w:lastRenderedPageBreak/>
        <w:t>projeto, o perfil do suspeito policial só se fortalece dentro da entidade, na medida em que “</w:t>
      </w:r>
      <w:r>
        <w:rPr>
          <w:rFonts w:ascii="Arial" w:hAnsi="Arial" w:cs="Arial"/>
          <w:color w:val="000000"/>
          <w:shd w:val="clear" w:color="auto" w:fill="FFFFFF"/>
        </w:rPr>
        <w:t>o policial aprende que deve tratar diferente um jovem branco vestido de terno na cidade e um jovem negro de bermuda e chinelo em uma favela”. O grande dilema é: a maioria desses jovens de comunidade se vestem dessa maneira, portanto, todos são considerados suspeitos e alvos da polícia. </w:t>
      </w:r>
    </w:p>
    <w:p w:rsidR="004F776F" w:rsidRDefault="004F776F" w:rsidP="005F23F3">
      <w:pPr>
        <w:spacing w:line="360" w:lineRule="auto"/>
        <w:jc w:val="both"/>
        <w:rPr>
          <w:sz w:val="24"/>
          <w:szCs w:val="24"/>
        </w:rPr>
      </w:pPr>
    </w:p>
    <w:p w:rsidR="005F23F3" w:rsidRDefault="005F23F3" w:rsidP="005F23F3">
      <w:pPr>
        <w:pStyle w:val="NormalWeb"/>
        <w:spacing w:before="0" w:beforeAutospacing="0" w:after="0" w:afterAutospacing="0" w:line="360" w:lineRule="auto"/>
        <w:jc w:val="both"/>
        <w:rPr>
          <w:rFonts w:ascii="Arial" w:hAnsi="Arial" w:cs="Arial"/>
          <w:b/>
          <w:bCs/>
          <w:color w:val="000000"/>
        </w:rPr>
      </w:pPr>
      <w:r>
        <w:rPr>
          <w:rFonts w:ascii="Arial" w:hAnsi="Arial" w:cs="Arial"/>
          <w:b/>
          <w:bCs/>
          <w:color w:val="000000"/>
        </w:rPr>
        <w:t>3         O SISTEMA PENAL E A SELETIVIDADE PUNITIVA</w:t>
      </w:r>
    </w:p>
    <w:p w:rsidR="005F23F3" w:rsidRDefault="005F23F3" w:rsidP="005F23F3">
      <w:pPr>
        <w:pStyle w:val="NormalWeb"/>
        <w:spacing w:before="0" w:beforeAutospacing="0" w:after="0" w:afterAutospacing="0" w:line="360" w:lineRule="auto"/>
        <w:jc w:val="both"/>
      </w:pP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A seletividade punitiva, enquanto engrenagem funcional do sistema penal brasileiro, se revela como um mecanismo profundamente influenciado por determinantes sociais e históricos que definem, antes mesmo do delito, o sujeito punível. Os atores desse seletivismo são conhecidos de nossa sociedade: populações racializadas e empobrecidas. Longe de ser um equívoco da prática penal, a seletividade é estruturante e funcional, como bem explicita Silvio Almeida (2019), operando como instrumento de manutenção das desigualdades sociais, sobretudo quando articulada com a raça, o território e a classe social.</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Na verdade, percebe-se que o sistema penal se orienta pelo o que Gunther Jakobs denominou de “Direito Penal do Inimigo”, cujo a característica se baseia em estereótipos e rotulações antecedentes à própria prática delitiva.  Segundo Barbosa (2017, p. 1), “a definição de determinados indivíduos como inimigos sociais parte de uma prévia rotulação do sujeito”, que ocorre por meio do que a criminologia crítica denomina labelling approach — processo em que certos sujeitos, por sua origem, classe e raça, são estigmatizados e alvos preferenciais da atuação punitiva do Estado. Tem-se, portanto, um sistema sob duas óticas: um garantista, direcionados aos considerados “cidadãos”; e, outro de exceção, voltado aos definidos por estigmas sociais - como a juventude negra e pobre das periferias.</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Essa característica social não surgiu no atual modelo político de Estado contemplado pelo Brasil. Na verdade, essa seletividade remonta de tempos iniciais da formação brasileira, a qual é uma expressão ideológica construída para legitimar </w:t>
      </w:r>
      <w:r>
        <w:rPr>
          <w:rFonts w:ascii="Arial" w:hAnsi="Arial" w:cs="Arial"/>
          <w:color w:val="000000"/>
        </w:rPr>
        <w:lastRenderedPageBreak/>
        <w:t>o caráter punitivista. Nesse contexto, a construção do inimigo social no Brasil é fruto de um processo histórico que remonta à escravidão, no qual “o negro, pobre, não mais é perseguido por capitães do mato, mas sim pela polícia ostensiva com licença para matar, dada pela própria sociedade” (Rosa, 2022, p. 14). Percebe-se, desse modo, que a naturalização dessa lógica baseada no extermínio encontra alicerce no medo e no preconceito que, na contemporaneidade, são reforçados por um discurso midiático que associa criminalidade à pobreza.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É nessa perspectiva que a atuação do sistema penal, ao invés de combater as desigualdades, acaba por reproduzi-las e, de certo modo, intensificá-las. Como pontua Vale (2021, p. 3), “os mecanismos formais de controle, ao invés de resolver o problema da delinquência, passam a reproduzir e fomentar ainda mais a violência”. Em outras palavras, a seletividade, como estrutura primordial do Estado brasileiro, compromete a legitimidade do sistema penal, uma vez que fere o princípio da igualdade e viola constantemente as garantias constitucionais dos sujeitos criminalizados.</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A Lei nº 11.343/2006, conhecida como Lei de Drogas, é um dos principais exemplos da seletividade punitivista institucionalizada que opera no Brasil e que controla corpos negros e pobres, gerando um encarceramento em massa dessa parcela da população. Explica-se:  essa seletividade se materializa especialmente na ambiguidade do tipo penal que diferencia o usuário do traficante, conferindo ao julgador ampla margem de discricionariedade (Bispo, 2021). Essa ambiguidade normativa permite que os julgamentos sejam ancorados em preconceitos raciais e sociais. Basta observar que de 2006 a 2016, segundo dados da Infopen (2017), o sistema penitenciário recepcionou cerca de 300 mil pessoas, sendo a maioria negros, pobres e moradores da periferia das cidades.</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É nesse cenário que o sistema penal hodierno se vale de formas “racionalizadas” de controle para manter sua funcionalidade repressiva. Na concepção de Barbosa (2017), a atuação do poder punitivo segue uma lógica de verticalização social, ou seja, trata-se de definir o inimigo, demonizá-lo e </w:t>
      </w:r>
      <w:r>
        <w:rPr>
          <w:rFonts w:ascii="Arial" w:hAnsi="Arial" w:cs="Arial"/>
          <w:color w:val="000000"/>
        </w:rPr>
        <w:lastRenderedPageBreak/>
        <w:t>legitimamente neutralizá-lo por meio da violência legalizada. Essa estrutura dialoga diretamente com a crítica de Zaffaroni (1991, p. 130), ao afirmar que “estes estereótipos permitem a catalogação dos criminosos que combinam com a imagem que corresponde à descrição fabricada deixando de fora outros tipos de delinquentes”. Isto é, o Brasil fabrica os “criminosos” que pretende deter.</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Destarte, a seletividade punitiva no Brasil não é uma falha, mas um projeto político de manutenção de privilégios. De fato, o sistema penal atua como instrumento de contenção social, operando sob uma legalidade seletiva, em um verdadeiro estado de exceção legal. Essa legalidade serve para negar direitos e preservar a ordem hegemônica.</w:t>
      </w:r>
    </w:p>
    <w:p w:rsidR="004F776F" w:rsidRDefault="004F776F" w:rsidP="005F23F3">
      <w:pPr>
        <w:spacing w:line="360" w:lineRule="auto"/>
        <w:ind w:firstLine="709"/>
        <w:jc w:val="both"/>
        <w:rPr>
          <w:sz w:val="24"/>
          <w:szCs w:val="24"/>
        </w:rPr>
      </w:pPr>
    </w:p>
    <w:p w:rsidR="005F23F3" w:rsidRDefault="005F23F3" w:rsidP="005F23F3">
      <w:pPr>
        <w:pStyle w:val="NormalWeb"/>
        <w:spacing w:before="0" w:beforeAutospacing="0" w:after="0" w:afterAutospacing="0" w:line="360" w:lineRule="auto"/>
        <w:jc w:val="both"/>
        <w:rPr>
          <w:rFonts w:ascii="Arial" w:hAnsi="Arial" w:cs="Arial"/>
          <w:b/>
          <w:bCs/>
          <w:color w:val="000000"/>
        </w:rPr>
      </w:pPr>
      <w:r>
        <w:rPr>
          <w:rFonts w:ascii="Arial" w:hAnsi="Arial" w:cs="Arial"/>
          <w:b/>
          <w:bCs/>
          <w:color w:val="000000"/>
        </w:rPr>
        <w:t>4         VIOLÊNCIA POLICIAL E A POPULAÇÃO NEGRA</w:t>
      </w:r>
    </w:p>
    <w:p w:rsidR="005F23F3" w:rsidRDefault="005F23F3" w:rsidP="005F23F3">
      <w:pPr>
        <w:pStyle w:val="NormalWeb"/>
        <w:spacing w:before="0" w:beforeAutospacing="0" w:after="0" w:afterAutospacing="0" w:line="360" w:lineRule="auto"/>
        <w:jc w:val="both"/>
      </w:pP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Da leitura do </w:t>
      </w:r>
      <w:r>
        <w:rPr>
          <w:rFonts w:ascii="Arial" w:hAnsi="Arial" w:cs="Arial"/>
          <w:i/>
          <w:iCs/>
          <w:color w:val="000000"/>
        </w:rPr>
        <w:t>caput</w:t>
      </w:r>
      <w:r>
        <w:rPr>
          <w:rFonts w:ascii="Arial" w:hAnsi="Arial" w:cs="Arial"/>
          <w:color w:val="000000"/>
        </w:rPr>
        <w:t xml:space="preserve"> do artigo 144 da Constituição Federal de 1988 é possível constatar que, enquanto dever do Estado, a segurança pública possui como objetivos a preservação da ordem pública e da incolumidade das pessoas e do patrimônio. Pressupõe-se, portanto, que em paralelo à função repressiva do poder de polícia, designada para coibir a prática de ilícitos penais, o Estado também possui a prerrogativa de proteger a integridade física do indivíduo e de seu patrimônio, sendo esta atuação igualmente importante, mas frequentemente preterida.</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De fato, a corporação da polícia desempenha uma atividade essencial na promoção da segurança pública, atuando como verdadeiro agente executivo das ordens do Estado. A partir do monopólio legítimo do uso da força pelo Estado, os agentes policiais são autorizados a fazer valer as leis e as decisões judiciais, a fim de conservar a ordem pública, mas também de garantir a segurança da coletividade, ou, pelo menos, assim deveria ser.</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Conforme dados do Relatório do Mecanismo Internacional de Especialistas Independentes para o Avanço da Igualdade e Justiça Racial na Aplicação da Lei (EMLER), vinculado ao Conselho de Direitos Humanos da Organização das Nações </w:t>
      </w:r>
      <w:r>
        <w:rPr>
          <w:rFonts w:ascii="Arial" w:hAnsi="Arial" w:cs="Arial"/>
          <w:color w:val="000000"/>
        </w:rPr>
        <w:lastRenderedPageBreak/>
        <w:t>Unidas (ONU), de 2014 a 2024, houve 54.175 mortes provocadas por policiais no Brasil, sendo que mais de 6.000 indivíduos foram mortos a cada ano nos últimos seis anos. Para efeitos de comparação, referida quantia corresponde a mais de 13% dos casos de homicídios acontecidos no ano de 2023, levando em consideração o último Atlas da Violência, formado pela parceria entre o Fórum Brasileiro de Segurança Pública e o Instituto de Pesquisa Econômica Aplicada (IPEA).</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Tais dados comprovam, por si só, a letalidade da polícia brasileira, resultante de um processo de policização dos seus agentes, conforme explicado por Eugenio Raul Zaffaroni em seu livro “Em busca das penas perdidas: a perda da legitimidade do sistema penal” (1991). Segundo o autor, o processo de policização ocorre quando o pessoal policizado é selecionado dentre os setores mais carentes da população e integrado nas agências policiais, sendo treinado em um discurso externo moralizante, em contraste com uma prática interna corrupta decorrente do poder incontrolado da agência, o que gera uma substituição de sua identidade original por uma artificial, criada para se adequar às funções de controle e poder exercidas por essas instituições. Consequentemente, os agentes policiais são designados para cumprirem demandas de seu papel, como violência justiceira e indiferença à morte alheia (Zaffaroni, 1991, p. 137-141).</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Ocorre que, diante do racismo estrutural entranhado no sistema penal brasileiro, esse mesmo comportamento violento tem como principal alvo a população negra. Sob o pretexto de combater a criminalidade e o tráfico de drogas, os órgãos policiais reproduzem a violência como mecanismo para perpetuar a discriminação racial, ocasionando um verdadeiro genocídio da população negra brasileira, como já denunciava o célere Abdias do Nascimento em seu livro “O Genocídio do Negro Brasileiro: Processo de um Racismo Mascarado” (1978).</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Prova disso é que, com base no mais recente Anuário Brasileiro de Segurança Pública, no ano de 2023, das 6.393 pessoas que morreram em decorrência da letalidade policial, 82,7% eram vítimas negras, de modo que a taxa de mortalidade de pessoas negras em intervenções policiais foi 289% maior do que </w:t>
      </w:r>
      <w:r>
        <w:rPr>
          <w:rFonts w:ascii="Arial" w:hAnsi="Arial" w:cs="Arial"/>
          <w:color w:val="000000"/>
        </w:rPr>
        <w:lastRenderedPageBreak/>
        <w:t>a verificada entre pessoas brancas. Referidos dados estão longe de demonstrar uma mera coincidência, porque, na verdade, revelam uma trágica realidade, muitas vezes ignorada pela própria sociedade.</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O que acontece é que o assassinato de uma pessoa negra por intervenção policial tornou-se tão frequente que passou a ser banalizado, de tal modo que os casos que ganham repercussão social e midiática são apenas aqueles mais cruéis e desumanos, embora representem uma ínfima parcela da quantidade de pessoas negras mortas por policiais todos os dias. Foi o caso de Eloah Passos da Silva, menina de apenas 5 anos de idade que foi baleada no peito em 12 de agosto de 2023, durante uma operação policial realizada no Morro do Dendê, no estado do Rio de Janeiro. Ocorre que, na ocasião, a polícia militar se dirigiu para o local a fim de dispersar uma manifestação dos moradores locais contra a morte do jovem Wendel Eduardo de Almeida, de 17 anos, em uma ação policial ocorrida exatamente no mesmo dia.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Soma-se a isso o fato de que as mortes decorrentes de intervenção policial, apesar de representarem a expressão mais perversa do racismo estrutural, não são a sua única forma de manifestação, pois a violência policial também se mostra, por exemplo, nas abordagens policiais cujos suspeitos são frequentemente selecionados pela cor de pele, nas invasões domiciliares sem mandado judiciais ocorridas nas favelas e também nas agressões físicas e psicológicas sofridas pela população negra por parte dos policiais. Como evidência disso, no dia 03 de julho de 2024, três adolescentes negros, filhos dos embaixadores do Canadá, Gabão e Burkina Faso, foram revistados à mão armada por policiais no Rio de Janeiro, forçando o Ministério das Relações Exteriores do Brasil a realizar um pedido formal de desculpas aos referidos países.</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Eis, portanto, o retrato da polícia brasileira, servindo de instrumento para conservar o </w:t>
      </w:r>
      <w:r>
        <w:rPr>
          <w:rFonts w:ascii="Arial" w:hAnsi="Arial" w:cs="Arial"/>
          <w:i/>
          <w:iCs/>
          <w:color w:val="000000"/>
        </w:rPr>
        <w:t>status quo</w:t>
      </w:r>
      <w:r>
        <w:rPr>
          <w:rFonts w:ascii="Arial" w:hAnsi="Arial" w:cs="Arial"/>
          <w:color w:val="000000"/>
        </w:rPr>
        <w:t xml:space="preserve"> do racismo estrutural enraizado na sociedade, por meio de uma brutalidade e violência que, por vezes, afetam, inclusive, os próprios agentes policiais. Ainda segundo o Anuário Brasileiro de Segurança Pública de 2024, no ano </w:t>
      </w:r>
      <w:r>
        <w:rPr>
          <w:rFonts w:ascii="Arial" w:hAnsi="Arial" w:cs="Arial"/>
          <w:color w:val="000000"/>
        </w:rPr>
        <w:lastRenderedPageBreak/>
        <w:t>de 2023, um total de 127 policiais foram assassinados, sendo que 69,7% desses agentes eram negros. Nas palavras da escritora e filósofa Djamila Ribeiro, em seu livro “Pequeno Manual Antirracista” (2019), “Se a polícia é o braço armado do Estado opressor, é também um dos lados que cai com essa guerra.” (p. 48).</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Justamente por conta disso, é necessária uma coalizão entre Estado e sociedade para combater a violência sistêmica que promove o racismo estrutural no Brasil. Por sua vez, a população negra exige e anseia por reformas institucionais na corporação da polícia, desde a formação de seus agentes até a seletividade punitiva dos incriminados. Por outro lado, a polícia brasileira é algoz, mas também vítima de sua própria letalidade, o que reforça a necessidade de sua reestruturação. Afinal, não se esqueça que, além de coibir a prática de ilícitos penais, os policiais têm, como prerrogativa de sua profissão, a proteção da integridade física e material dos indivíduos, especialmente dos mais vulneráveis, alvos apenas por conta de sua raça e cor.</w:t>
      </w:r>
    </w:p>
    <w:p w:rsidR="005F23F3" w:rsidRDefault="005F23F3" w:rsidP="005F23F3">
      <w:pPr>
        <w:spacing w:line="360" w:lineRule="auto"/>
        <w:ind w:firstLine="709"/>
        <w:jc w:val="both"/>
        <w:rPr>
          <w:sz w:val="24"/>
          <w:szCs w:val="24"/>
        </w:rPr>
      </w:pPr>
    </w:p>
    <w:p w:rsidR="004F776F" w:rsidRDefault="005F23F3" w:rsidP="005F23F3">
      <w:pPr>
        <w:spacing w:line="360" w:lineRule="auto"/>
        <w:jc w:val="both"/>
        <w:rPr>
          <w:b/>
          <w:sz w:val="24"/>
          <w:szCs w:val="24"/>
        </w:rPr>
      </w:pPr>
      <w:r>
        <w:rPr>
          <w:b/>
          <w:sz w:val="24"/>
          <w:szCs w:val="24"/>
        </w:rPr>
        <w:t>5</w:t>
      </w:r>
      <w:r w:rsidR="004F776F">
        <w:rPr>
          <w:b/>
          <w:sz w:val="24"/>
          <w:szCs w:val="24"/>
        </w:rPr>
        <w:tab/>
        <w:t>CONCLUSÃO</w:t>
      </w:r>
    </w:p>
    <w:p w:rsidR="004F776F" w:rsidRDefault="004F776F" w:rsidP="005F23F3">
      <w:pPr>
        <w:spacing w:line="360" w:lineRule="auto"/>
        <w:jc w:val="both"/>
        <w:rPr>
          <w:sz w:val="24"/>
          <w:szCs w:val="24"/>
        </w:rPr>
      </w:pP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Diante de todo o exposto, chega mesmo a ser tautológico dizer que a polícia brasileira opera um plano de genocídio da população negra. Afinal, como supracitado, o racismo, que outrora provocou a escravização, agora é estrutural, porque, na medida em que constitui a base das relações políticas, econômicas e sociais do Brasil, desencadeia muitas outras formas de discriminação racial, dentre as quais a brutalidade e a letalidade policial contra pessoas negras. </w:t>
      </w:r>
    </w:p>
    <w:p w:rsidR="005F23F3" w:rsidRDefault="005F23F3" w:rsidP="005F23F3">
      <w:pPr>
        <w:pStyle w:val="NormalWeb"/>
        <w:spacing w:before="0" w:beforeAutospacing="0" w:after="0" w:afterAutospacing="0" w:line="360" w:lineRule="auto"/>
        <w:ind w:firstLine="709"/>
        <w:jc w:val="both"/>
      </w:pPr>
      <w:r>
        <w:rPr>
          <w:rFonts w:ascii="Arial" w:hAnsi="Arial" w:cs="Arial"/>
          <w:color w:val="000000"/>
        </w:rPr>
        <w:t xml:space="preserve">Por sua vez, também foi mostrado que o sistema penal e a seletividade punitiva que dele deriva são elementos estruturantes do racismo estrutural, como mantenedores da ordem hegemônica vigente, através de processos de estigmatização e, por conseguinte, de punição da população negra, que apenas retroalimentam esse racismo. Trata-se, efetivamente, do fenômeno que dá nome a </w:t>
      </w:r>
      <w:r>
        <w:rPr>
          <w:rFonts w:ascii="Arial" w:hAnsi="Arial" w:cs="Arial"/>
          <w:color w:val="000000"/>
        </w:rPr>
        <w:lastRenderedPageBreak/>
        <w:t>esse artigo, uma verdadeira seletividade racial da violência policial no Brasil, cujo alvo é evidente: a cor de pele preta. </w:t>
      </w:r>
    </w:p>
    <w:p w:rsidR="004F776F" w:rsidRDefault="004F776F" w:rsidP="004F776F">
      <w:pPr>
        <w:spacing w:line="360" w:lineRule="auto"/>
        <w:jc w:val="center"/>
        <w:rPr>
          <w:b/>
          <w:sz w:val="24"/>
          <w:szCs w:val="24"/>
        </w:rPr>
      </w:pPr>
    </w:p>
    <w:p w:rsidR="004F776F" w:rsidRPr="00CB33DD" w:rsidRDefault="004F776F" w:rsidP="004F776F">
      <w:pPr>
        <w:spacing w:line="360" w:lineRule="auto"/>
        <w:jc w:val="center"/>
        <w:rPr>
          <w:bCs/>
          <w:sz w:val="24"/>
          <w:szCs w:val="24"/>
        </w:rPr>
      </w:pPr>
      <w:r>
        <w:rPr>
          <w:b/>
          <w:sz w:val="24"/>
          <w:szCs w:val="24"/>
        </w:rPr>
        <w:t xml:space="preserve">REFERÊNCIAS </w:t>
      </w:r>
    </w:p>
    <w:p w:rsidR="004F776F" w:rsidRPr="005F23F3" w:rsidRDefault="004F776F" w:rsidP="005F23F3">
      <w:pPr>
        <w:spacing w:line="240" w:lineRule="auto"/>
        <w:rPr>
          <w:sz w:val="24"/>
          <w:szCs w:val="24"/>
        </w:rPr>
      </w:pPr>
    </w:p>
    <w:p w:rsidR="005F23F3" w:rsidRDefault="005F23F3" w:rsidP="005F23F3">
      <w:pPr>
        <w:spacing w:line="240" w:lineRule="auto"/>
        <w:rPr>
          <w:rFonts w:eastAsia="Times New Roman"/>
          <w:color w:val="000000"/>
          <w:sz w:val="24"/>
          <w:szCs w:val="24"/>
        </w:rPr>
      </w:pPr>
      <w:r w:rsidRPr="005F23F3">
        <w:rPr>
          <w:rFonts w:eastAsia="Times New Roman"/>
          <w:color w:val="000000"/>
          <w:sz w:val="24"/>
          <w:szCs w:val="24"/>
        </w:rPr>
        <w:t xml:space="preserve">ALMEIDA, S. </w:t>
      </w:r>
      <w:r w:rsidRPr="005F23F3">
        <w:rPr>
          <w:rFonts w:eastAsia="Times New Roman"/>
          <w:b/>
          <w:bCs/>
          <w:color w:val="000000"/>
          <w:sz w:val="24"/>
          <w:szCs w:val="24"/>
        </w:rPr>
        <w:t>Racismo estrutural</w:t>
      </w:r>
      <w:r w:rsidRPr="005F23F3">
        <w:rPr>
          <w:rFonts w:eastAsia="Times New Roman"/>
          <w:color w:val="000000"/>
          <w:sz w:val="24"/>
          <w:szCs w:val="24"/>
        </w:rPr>
        <w:t>. 1ª ed. São Paulo: Jandaíra, 2019.</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BARBOSA, A. V. M. </w:t>
      </w:r>
      <w:r w:rsidRPr="005F23F3">
        <w:rPr>
          <w:rFonts w:eastAsia="Times New Roman"/>
          <w:b/>
          <w:bCs/>
          <w:color w:val="000000"/>
          <w:sz w:val="24"/>
          <w:szCs w:val="24"/>
        </w:rPr>
        <w:t>O direito penal do inimigo e a seletividade do sistema penal: dois lados da mesma moeda</w:t>
      </w:r>
      <w:r w:rsidRPr="005F23F3">
        <w:rPr>
          <w:rFonts w:eastAsia="Times New Roman"/>
          <w:color w:val="000000"/>
          <w:sz w:val="24"/>
          <w:szCs w:val="24"/>
        </w:rPr>
        <w:t>. 2017. Trabalho de Conclusão de Curso (Bacharelado em Direito) – Pontifícia Universidade Católica do Rio Grande do Sul, Porto Alegre, 2017.</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Pr>
          <w:rFonts w:eastAsia="Times New Roman"/>
          <w:color w:val="000000"/>
          <w:sz w:val="24"/>
          <w:szCs w:val="24"/>
        </w:rPr>
        <w:t>BISPO, N. D. G.</w:t>
      </w:r>
      <w:r w:rsidRPr="005F23F3">
        <w:rPr>
          <w:rFonts w:eastAsia="Times New Roman"/>
          <w:color w:val="000000"/>
          <w:sz w:val="24"/>
          <w:szCs w:val="24"/>
        </w:rPr>
        <w:t xml:space="preserve"> </w:t>
      </w:r>
      <w:r w:rsidRPr="005F23F3">
        <w:rPr>
          <w:rFonts w:eastAsia="Times New Roman"/>
          <w:b/>
          <w:color w:val="000000"/>
          <w:sz w:val="24"/>
          <w:szCs w:val="24"/>
        </w:rPr>
        <w:t>Racismo estrutural e seletividade punitiva na política nacional de drogas</w:t>
      </w:r>
      <w:r w:rsidRPr="005F23F3">
        <w:rPr>
          <w:rFonts w:eastAsia="Times New Roman"/>
          <w:color w:val="000000"/>
          <w:sz w:val="24"/>
          <w:szCs w:val="24"/>
        </w:rPr>
        <w:t>: uma abordagem criminológica. UFBA, 2021.</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BRASIL. [Constituição (1988)].</w:t>
      </w:r>
      <w:r w:rsidRPr="005F23F3">
        <w:rPr>
          <w:rFonts w:eastAsia="Times New Roman"/>
          <w:b/>
          <w:bCs/>
          <w:color w:val="000000"/>
          <w:sz w:val="24"/>
          <w:szCs w:val="24"/>
        </w:rPr>
        <w:t xml:space="preserve"> Constituição da República Federativa do Brasil de 1988</w:t>
      </w:r>
      <w:r w:rsidRPr="005F23F3">
        <w:rPr>
          <w:rFonts w:eastAsia="Times New Roman"/>
          <w:color w:val="000000"/>
          <w:sz w:val="24"/>
          <w:szCs w:val="24"/>
        </w:rPr>
        <w:t>. Brasília, DF: Presidência da República, [2016]. Disponível em: http://www.planalto.gov.br/ccivil_03/Constituicao/ Constituiçao.htm. Acesso em: 6 jun. 2025.</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FRAGA FILHO, Walter. </w:t>
      </w:r>
      <w:r w:rsidRPr="005F23F3">
        <w:rPr>
          <w:rFonts w:eastAsia="Times New Roman"/>
          <w:b/>
          <w:bCs/>
          <w:color w:val="000000"/>
          <w:sz w:val="24"/>
          <w:szCs w:val="24"/>
        </w:rPr>
        <w:t>Encruzilhadas da liberdade: histórias de escravos e libertos na Bahia (1870-1910</w:t>
      </w:r>
      <w:r w:rsidRPr="005F23F3">
        <w:rPr>
          <w:rFonts w:eastAsia="Times New Roman"/>
          <w:color w:val="000000"/>
          <w:sz w:val="24"/>
          <w:szCs w:val="24"/>
        </w:rPr>
        <w:t>).  Campinas, SP: Editora Unicamp, 2006.</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FÓRUM BRASILEIRO DE SEGURANÇA PÚBLICA. </w:t>
      </w:r>
      <w:r w:rsidRPr="005F23F3">
        <w:rPr>
          <w:rFonts w:eastAsia="Times New Roman"/>
          <w:b/>
          <w:bCs/>
          <w:color w:val="000000"/>
          <w:sz w:val="24"/>
          <w:szCs w:val="24"/>
        </w:rPr>
        <w:t>Anuário Brasileiro de Segurança Pública</w:t>
      </w:r>
      <w:r w:rsidRPr="005F23F3">
        <w:rPr>
          <w:rFonts w:eastAsia="Times New Roman"/>
          <w:color w:val="000000"/>
          <w:sz w:val="24"/>
          <w:szCs w:val="24"/>
        </w:rPr>
        <w:t>. 18. ed. São Paulo: Fórum Brasileiro de Segurança Pública, 2024. 404 p. Disponível em: https://publicacoes.forumseguranca.org.br/handle/123456789/253. Acesso em: 4 jun. 2025.</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GONZALEZ, L.</w:t>
      </w:r>
      <w:r w:rsidRPr="005F23F3">
        <w:rPr>
          <w:rFonts w:eastAsia="Times New Roman"/>
          <w:b/>
          <w:bCs/>
          <w:color w:val="000000"/>
          <w:sz w:val="24"/>
          <w:szCs w:val="24"/>
        </w:rPr>
        <w:t xml:space="preserve"> Por um feminismo afro-latino-americano:</w:t>
      </w:r>
      <w:r w:rsidRPr="005F23F3">
        <w:rPr>
          <w:rFonts w:eastAsia="Times New Roman"/>
          <w:color w:val="000000"/>
          <w:sz w:val="24"/>
          <w:szCs w:val="24"/>
        </w:rPr>
        <w:t xml:space="preserve"> ensaios, intervenções e diálogos. Rio de Janeiro: Zahar, 2020. </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INFONPEN. </w:t>
      </w:r>
      <w:r w:rsidRPr="005F23F3">
        <w:rPr>
          <w:rFonts w:eastAsia="Times New Roman"/>
          <w:b/>
          <w:bCs/>
          <w:color w:val="000000"/>
          <w:sz w:val="24"/>
          <w:szCs w:val="24"/>
        </w:rPr>
        <w:t>Levantamento nacional de informações penitenciárias - junho de 2016</w:t>
      </w:r>
      <w:r w:rsidRPr="005F23F3">
        <w:rPr>
          <w:rFonts w:eastAsia="Times New Roman"/>
          <w:color w:val="000000"/>
          <w:sz w:val="24"/>
          <w:szCs w:val="24"/>
        </w:rPr>
        <w:t>. Brasília: Secretaria Nacional de Segurança Pública, 2017. Disponível em: https://www.gov.br/senappen/pt-br/pt-br/assuntos/noticias/infopen-levantamento-nacional-de-informacoes-penitenciarias-2016/relatorio_2016_22111.pdf. Acesso em: 27 jul. 2025. </w:t>
      </w:r>
    </w:p>
    <w:p w:rsidR="005F23F3" w:rsidRPr="005F23F3" w:rsidRDefault="005F23F3" w:rsidP="005F23F3">
      <w:pPr>
        <w:spacing w:line="240" w:lineRule="auto"/>
        <w:rPr>
          <w:rFonts w:eastAsia="Times New Roman"/>
          <w:sz w:val="24"/>
          <w:szCs w:val="24"/>
        </w:rPr>
      </w:pPr>
    </w:p>
    <w:p w:rsidR="005F23F3" w:rsidRDefault="005F23F3" w:rsidP="005F23F3">
      <w:pPr>
        <w:spacing w:line="240" w:lineRule="auto"/>
        <w:rPr>
          <w:rFonts w:eastAsia="Times New Roman"/>
          <w:color w:val="000000"/>
          <w:sz w:val="24"/>
          <w:szCs w:val="24"/>
          <w:shd w:val="clear" w:color="auto" w:fill="FFFFFF"/>
        </w:rPr>
      </w:pPr>
      <w:r w:rsidRPr="005F23F3">
        <w:rPr>
          <w:rFonts w:eastAsia="Times New Roman"/>
          <w:color w:val="000000"/>
          <w:sz w:val="24"/>
          <w:szCs w:val="24"/>
          <w:shd w:val="clear" w:color="auto" w:fill="FFFFFF"/>
        </w:rPr>
        <w:t xml:space="preserve">INSTITUTO DE PESQUISA ECONÔMICA APLICADA; FÓRUM BRASILEIRO DE SEGURANÇA PÚBLICA. </w:t>
      </w:r>
      <w:r w:rsidRPr="005F23F3">
        <w:rPr>
          <w:rFonts w:eastAsia="Times New Roman"/>
          <w:b/>
          <w:bCs/>
          <w:color w:val="000000"/>
          <w:sz w:val="24"/>
          <w:szCs w:val="24"/>
          <w:shd w:val="clear" w:color="auto" w:fill="FFFFFF"/>
        </w:rPr>
        <w:t>Atlas da violência 2025</w:t>
      </w:r>
      <w:r w:rsidRPr="005F23F3">
        <w:rPr>
          <w:rFonts w:eastAsia="Times New Roman"/>
          <w:color w:val="000000"/>
          <w:sz w:val="24"/>
          <w:szCs w:val="24"/>
          <w:shd w:val="clear" w:color="auto" w:fill="FFFFFF"/>
        </w:rPr>
        <w:t xml:space="preserve">. Brasília, DF; São Paulo: Ipea; </w:t>
      </w:r>
      <w:r w:rsidRPr="005F23F3">
        <w:rPr>
          <w:rFonts w:eastAsia="Times New Roman"/>
          <w:color w:val="000000"/>
          <w:sz w:val="24"/>
          <w:szCs w:val="24"/>
          <w:shd w:val="clear" w:color="auto" w:fill="FFFFFF"/>
        </w:rPr>
        <w:lastRenderedPageBreak/>
        <w:t>FBSP, 2025. Disponível em:</w:t>
      </w:r>
      <w:hyperlink r:id="rId7" w:history="1">
        <w:r w:rsidRPr="005F23F3">
          <w:rPr>
            <w:rFonts w:eastAsia="Times New Roman"/>
            <w:color w:val="000000"/>
            <w:sz w:val="24"/>
            <w:szCs w:val="24"/>
            <w:u w:val="single"/>
            <w:shd w:val="clear" w:color="auto" w:fill="FFFFFF"/>
          </w:rPr>
          <w:t xml:space="preserve"> </w:t>
        </w:r>
      </w:hyperlink>
      <w:r w:rsidRPr="005F23F3">
        <w:rPr>
          <w:rFonts w:eastAsia="Times New Roman"/>
          <w:color w:val="000000"/>
          <w:sz w:val="24"/>
          <w:szCs w:val="24"/>
          <w:shd w:val="clear" w:color="auto" w:fill="FFFFFF"/>
        </w:rPr>
        <w:t>https://www.ipea.gov.br/atlasviolencia/publ</w:t>
      </w:r>
      <w:r>
        <w:rPr>
          <w:rFonts w:eastAsia="Times New Roman"/>
          <w:color w:val="000000"/>
          <w:sz w:val="24"/>
          <w:szCs w:val="24"/>
          <w:shd w:val="clear" w:color="auto" w:fill="FFFFFF"/>
        </w:rPr>
        <w:t>icacoes. Acesso em: 5 jun. 2025.</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shd w:val="clear" w:color="auto" w:fill="FFFFFF"/>
        </w:rPr>
        <w:t xml:space="preserve">MECANISMO INTERNACIONAL DE ESPECIALISTAS INDEPENDENTES PARA O AVANÇO DA IGUALDADE E JUSTIÇA RACIAL NA APLICAÇÃO DA LEI. </w:t>
      </w:r>
      <w:r w:rsidRPr="005F23F3">
        <w:rPr>
          <w:rFonts w:eastAsia="Times New Roman"/>
          <w:b/>
          <w:bCs/>
          <w:color w:val="000000"/>
          <w:sz w:val="24"/>
          <w:szCs w:val="24"/>
          <w:shd w:val="clear" w:color="auto" w:fill="FFFFFF"/>
        </w:rPr>
        <w:t>Relatório do Mecanismo Internacional de Especialistas Independentes para o Avanço da Igualdade e Justiça Racial na Aplicação da Lei sobre sua visita ao Brasil</w:t>
      </w:r>
      <w:r w:rsidRPr="005F23F3">
        <w:rPr>
          <w:rFonts w:eastAsia="Times New Roman"/>
          <w:color w:val="000000"/>
          <w:sz w:val="24"/>
          <w:szCs w:val="24"/>
          <w:shd w:val="clear" w:color="auto" w:fill="FFFFFF"/>
        </w:rPr>
        <w:t>. [S.l.: s.n.], 2023. Disponível em:</w:t>
      </w:r>
      <w:hyperlink r:id="rId8" w:history="1">
        <w:r w:rsidRPr="005F23F3">
          <w:rPr>
            <w:rFonts w:eastAsia="Times New Roman"/>
            <w:color w:val="000000"/>
            <w:sz w:val="24"/>
            <w:szCs w:val="24"/>
            <w:u w:val="single"/>
            <w:shd w:val="clear" w:color="auto" w:fill="FFFFFF"/>
          </w:rPr>
          <w:t xml:space="preserve"> </w:t>
        </w:r>
      </w:hyperlink>
      <w:r w:rsidRPr="005F23F3">
        <w:rPr>
          <w:rFonts w:eastAsia="Times New Roman"/>
          <w:color w:val="000000"/>
          <w:sz w:val="24"/>
          <w:szCs w:val="24"/>
          <w:shd w:val="clear" w:color="auto" w:fill="FFFFFF"/>
        </w:rPr>
        <w:t>https://brasil.un.org/pt-br/280159-brasil-relat%C3%B3rio-sobre-justi%C3%A7a-racial-na-aplica%C3%A7%C3%A3o-da-lei. Acesso em: 5 jun. 2025. </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shd w:val="clear" w:color="auto" w:fill="FFFFFF"/>
        </w:rPr>
        <w:t xml:space="preserve">MOURA,  C.  </w:t>
      </w:r>
      <w:r w:rsidRPr="005F23F3">
        <w:rPr>
          <w:rFonts w:eastAsia="Times New Roman"/>
          <w:b/>
          <w:bCs/>
          <w:color w:val="000000"/>
          <w:sz w:val="24"/>
          <w:szCs w:val="24"/>
          <w:shd w:val="clear" w:color="auto" w:fill="FFFFFF"/>
        </w:rPr>
        <w:t>Dialética  radical  do  Brasil  negro</w:t>
      </w:r>
      <w:r w:rsidRPr="005F23F3">
        <w:rPr>
          <w:rFonts w:eastAsia="Times New Roman"/>
          <w:color w:val="000000"/>
          <w:sz w:val="24"/>
          <w:szCs w:val="24"/>
          <w:shd w:val="clear" w:color="auto" w:fill="FFFFFF"/>
        </w:rPr>
        <w:t>. 2ª ed. São Paulo: Fundação Maurício Grabois coedição com Anita Garibaldi, 2014.</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shd w:val="clear" w:color="auto" w:fill="FFFFFF"/>
        </w:rPr>
        <w:t xml:space="preserve">NASCIMENTO, A. do. </w:t>
      </w:r>
      <w:r w:rsidRPr="005F23F3">
        <w:rPr>
          <w:rFonts w:eastAsia="Times New Roman"/>
          <w:b/>
          <w:bCs/>
          <w:color w:val="000000"/>
          <w:sz w:val="24"/>
          <w:szCs w:val="24"/>
          <w:shd w:val="clear" w:color="auto" w:fill="FFFFFF"/>
        </w:rPr>
        <w:t>O genocídio do negro brasileiro</w:t>
      </w:r>
      <w:r w:rsidRPr="005F23F3">
        <w:rPr>
          <w:rFonts w:eastAsia="Times New Roman"/>
          <w:color w:val="000000"/>
          <w:sz w:val="24"/>
          <w:szCs w:val="24"/>
          <w:shd w:val="clear" w:color="auto" w:fill="FFFFFF"/>
        </w:rPr>
        <w:t>: processo de um racismo mascarado. Rio de Janeiro: Paz e Terra, 1978.</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MBEMBE, A. </w:t>
      </w:r>
      <w:r w:rsidRPr="005F23F3">
        <w:rPr>
          <w:rFonts w:eastAsia="Times New Roman"/>
          <w:b/>
          <w:bCs/>
          <w:color w:val="000000"/>
          <w:sz w:val="24"/>
          <w:szCs w:val="24"/>
        </w:rPr>
        <w:t>Necropolítica.</w:t>
      </w:r>
      <w:r w:rsidRPr="005F23F3">
        <w:rPr>
          <w:rFonts w:eastAsia="Times New Roman"/>
          <w:color w:val="000000"/>
          <w:sz w:val="24"/>
          <w:szCs w:val="24"/>
        </w:rPr>
        <w:t xml:space="preserve"> 1ª ed. Rio de Janeiro: n-1 edições, 2018.</w:t>
      </w:r>
    </w:p>
    <w:p w:rsidR="005F23F3" w:rsidRDefault="005F23F3" w:rsidP="005F23F3">
      <w:pPr>
        <w:spacing w:line="240" w:lineRule="auto"/>
        <w:rPr>
          <w:rFonts w:eastAsia="Times New Roman"/>
          <w:color w:val="000000"/>
          <w:sz w:val="24"/>
          <w:szCs w:val="24"/>
        </w:rPr>
      </w:pPr>
      <w:r w:rsidRPr="005F23F3">
        <w:rPr>
          <w:rFonts w:eastAsia="Times New Roman"/>
          <w:color w:val="000000"/>
          <w:sz w:val="24"/>
          <w:szCs w:val="24"/>
        </w:rPr>
        <w:t xml:space="preserve">RAMOS, S. (Coord.). </w:t>
      </w:r>
      <w:r w:rsidRPr="005F23F3">
        <w:rPr>
          <w:rFonts w:eastAsia="Times New Roman"/>
          <w:b/>
          <w:bCs/>
          <w:color w:val="000000"/>
          <w:sz w:val="24"/>
          <w:szCs w:val="24"/>
        </w:rPr>
        <w:t>Pele Alvo</w:t>
      </w:r>
      <w:r w:rsidRPr="005F23F3">
        <w:rPr>
          <w:rFonts w:eastAsia="Times New Roman"/>
          <w:color w:val="000000"/>
          <w:sz w:val="24"/>
          <w:szCs w:val="24"/>
        </w:rPr>
        <w:t>: mortes que revelam um padrão. Rio de Janeiro: CESeC, 2024. </w:t>
      </w:r>
    </w:p>
    <w:p w:rsidR="005F23F3" w:rsidRPr="005F23F3" w:rsidRDefault="005F23F3" w:rsidP="005F23F3">
      <w:pPr>
        <w:spacing w:line="240" w:lineRule="auto"/>
        <w:rPr>
          <w:rFonts w:eastAsia="Times New Roman"/>
          <w:sz w:val="24"/>
          <w:szCs w:val="24"/>
        </w:rPr>
      </w:pPr>
    </w:p>
    <w:p w:rsidR="005F23F3" w:rsidRDefault="005F23F3" w:rsidP="005F23F3">
      <w:pPr>
        <w:spacing w:line="240" w:lineRule="auto"/>
        <w:rPr>
          <w:rFonts w:eastAsia="Times New Roman"/>
          <w:color w:val="000000"/>
          <w:sz w:val="24"/>
          <w:szCs w:val="24"/>
        </w:rPr>
      </w:pPr>
      <w:r w:rsidRPr="005F23F3">
        <w:rPr>
          <w:rFonts w:eastAsia="Times New Roman"/>
          <w:color w:val="000000"/>
          <w:sz w:val="24"/>
          <w:szCs w:val="24"/>
        </w:rPr>
        <w:t xml:space="preserve">RIBEIRO, D. </w:t>
      </w:r>
      <w:r w:rsidRPr="005F23F3">
        <w:rPr>
          <w:rFonts w:eastAsia="Times New Roman"/>
          <w:b/>
          <w:bCs/>
          <w:color w:val="000000"/>
          <w:sz w:val="24"/>
          <w:szCs w:val="24"/>
        </w:rPr>
        <w:t>Pequeno manual antirracista</w:t>
      </w:r>
      <w:r w:rsidRPr="005F23F3">
        <w:rPr>
          <w:rFonts w:eastAsia="Times New Roman"/>
          <w:color w:val="000000"/>
          <w:sz w:val="24"/>
          <w:szCs w:val="24"/>
        </w:rPr>
        <w:t>. São Paulo: Editora Schwarcz, 2019.</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ROSA, R. M. da. </w:t>
      </w:r>
      <w:r w:rsidRPr="005F23F3">
        <w:rPr>
          <w:rFonts w:eastAsia="Times New Roman"/>
          <w:b/>
          <w:bCs/>
          <w:color w:val="000000"/>
          <w:sz w:val="24"/>
          <w:szCs w:val="24"/>
        </w:rPr>
        <w:t>Seletividade penal</w:t>
      </w:r>
      <w:r w:rsidRPr="005F23F3">
        <w:rPr>
          <w:rFonts w:eastAsia="Times New Roman"/>
          <w:color w:val="000000"/>
          <w:sz w:val="24"/>
          <w:szCs w:val="24"/>
        </w:rPr>
        <w:t>: uma pesquisa à luz da cultura punitiva no Estado brasileiro. 2022. Trabalho de Conclusão de Curso (Bacharelado em Direito) – Faculdade Anhanguera de Rio Grande, Rio Grande, 2022.</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VALE, C. S. do. </w:t>
      </w:r>
      <w:r w:rsidRPr="005F23F3">
        <w:rPr>
          <w:rFonts w:eastAsia="Times New Roman"/>
          <w:b/>
          <w:bCs/>
          <w:color w:val="000000"/>
          <w:sz w:val="24"/>
          <w:szCs w:val="24"/>
        </w:rPr>
        <w:t>A seletividade punitiva como fator de deslegitimação do Direito Penal no Estado Democrático de Direito</w:t>
      </w:r>
      <w:r w:rsidRPr="005F23F3">
        <w:rPr>
          <w:rFonts w:eastAsia="Times New Roman"/>
          <w:color w:val="000000"/>
          <w:sz w:val="24"/>
          <w:szCs w:val="24"/>
        </w:rPr>
        <w:t>. 2021. Trabalho de Conclusão de Curso (Bacharelado em Direito) – Universidade Federal de Ouro Preto, Ouro Preto, 2021.</w:t>
      </w:r>
    </w:p>
    <w:p w:rsidR="005F23F3" w:rsidRPr="005F23F3" w:rsidRDefault="005F23F3" w:rsidP="005F23F3">
      <w:pPr>
        <w:spacing w:line="240" w:lineRule="auto"/>
        <w:rPr>
          <w:rFonts w:eastAsia="Times New Roman"/>
          <w:sz w:val="24"/>
          <w:szCs w:val="24"/>
        </w:rPr>
      </w:pPr>
    </w:p>
    <w:p w:rsidR="005F23F3" w:rsidRPr="005F23F3" w:rsidRDefault="005F23F3" w:rsidP="005F23F3">
      <w:pPr>
        <w:spacing w:line="240" w:lineRule="auto"/>
        <w:rPr>
          <w:rFonts w:eastAsia="Times New Roman"/>
          <w:sz w:val="24"/>
          <w:szCs w:val="24"/>
        </w:rPr>
      </w:pPr>
      <w:r w:rsidRPr="005F23F3">
        <w:rPr>
          <w:rFonts w:eastAsia="Times New Roman"/>
          <w:color w:val="000000"/>
          <w:sz w:val="24"/>
          <w:szCs w:val="24"/>
        </w:rPr>
        <w:t xml:space="preserve">ZAFFARONI, E. R. </w:t>
      </w:r>
      <w:r w:rsidRPr="005F23F3">
        <w:rPr>
          <w:rFonts w:eastAsia="Times New Roman"/>
          <w:b/>
          <w:bCs/>
          <w:color w:val="000000"/>
          <w:sz w:val="24"/>
          <w:szCs w:val="24"/>
        </w:rPr>
        <w:t>Em busca das penas perdidas</w:t>
      </w:r>
      <w:r w:rsidRPr="005F23F3">
        <w:rPr>
          <w:rFonts w:eastAsia="Times New Roman"/>
          <w:color w:val="000000"/>
          <w:sz w:val="24"/>
          <w:szCs w:val="24"/>
        </w:rPr>
        <w:t>: a perda da legitimidade do sistema penal. 6. ed. Rio de Janeiro: Revan, 1991.</w:t>
      </w:r>
    </w:p>
    <w:p w:rsidR="00FF4348" w:rsidRDefault="00FF4348">
      <w:pPr>
        <w:spacing w:after="200"/>
        <w:jc w:val="both"/>
        <w:rPr>
          <w:rFonts w:ascii="Calibri" w:eastAsia="Calibri" w:hAnsi="Calibri" w:cs="Calibri"/>
          <w:sz w:val="24"/>
          <w:szCs w:val="24"/>
        </w:rPr>
      </w:pPr>
    </w:p>
    <w:sectPr w:rsidR="00FF4348" w:rsidSect="004F776F">
      <w:headerReference w:type="default" r:id="rId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24E" w:rsidRDefault="00C4424E">
      <w:pPr>
        <w:spacing w:line="240" w:lineRule="auto"/>
      </w:pPr>
      <w:r>
        <w:separator/>
      </w:r>
    </w:p>
  </w:endnote>
  <w:endnote w:type="continuationSeparator" w:id="0">
    <w:p w:rsidR="00C4424E" w:rsidRDefault="00C44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24E" w:rsidRDefault="00C4424E">
      <w:pPr>
        <w:spacing w:line="240" w:lineRule="auto"/>
      </w:pPr>
      <w:r>
        <w:separator/>
      </w:r>
    </w:p>
  </w:footnote>
  <w:footnote w:type="continuationSeparator" w:id="0">
    <w:p w:rsidR="00C4424E" w:rsidRDefault="00C4424E">
      <w:pPr>
        <w:spacing w:line="240" w:lineRule="auto"/>
      </w:pPr>
      <w:r>
        <w:continuationSeparator/>
      </w:r>
    </w:p>
  </w:footnote>
  <w:footnote w:id="1">
    <w:p w:rsidR="007D7DA3" w:rsidRDefault="007D7DA3" w:rsidP="007D7DA3">
      <w:pPr>
        <w:pStyle w:val="Textodenotaderodap"/>
      </w:pPr>
      <w:r>
        <w:rPr>
          <w:rStyle w:val="Refdenotaderodap"/>
        </w:rPr>
        <w:footnoteRef/>
      </w:r>
      <w:r>
        <w:t xml:space="preserve"> Universidade Federal do Maranhão; Graduanda em Direito; c</w:t>
      </w:r>
      <w:r w:rsidRPr="007D7DA3">
        <w:t>atharina.rachel@discente.ufma.br</w:t>
      </w:r>
      <w:r>
        <w:t>.</w:t>
      </w:r>
    </w:p>
  </w:footnote>
  <w:footnote w:id="2">
    <w:p w:rsidR="007D7DA3" w:rsidRDefault="007D7DA3" w:rsidP="007D7DA3">
      <w:pPr>
        <w:pStyle w:val="Textodenotaderodap"/>
      </w:pPr>
      <w:r>
        <w:rPr>
          <w:rStyle w:val="Refdenotaderodap"/>
        </w:rPr>
        <w:footnoteRef/>
      </w:r>
      <w:r>
        <w:t xml:space="preserve"> Universidade Federal do Maranhão; Graduando em Direito; ennos.pedro@discente.ufma.br.</w:t>
      </w:r>
    </w:p>
  </w:footnote>
  <w:footnote w:id="3">
    <w:p w:rsidR="007D7DA3" w:rsidRDefault="007D7DA3" w:rsidP="007D7DA3">
      <w:pPr>
        <w:pStyle w:val="Textodenotaderodap"/>
      </w:pPr>
      <w:r>
        <w:rPr>
          <w:rStyle w:val="Refdenotaderodap"/>
        </w:rPr>
        <w:footnoteRef/>
      </w:r>
      <w:r>
        <w:t xml:space="preserve"> Universidade Federal do Maranhão; Graduanda em Direito; rayssa.mls@discente.ufma.br.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348" w:rsidRDefault="00716E49">
    <w:r>
      <w:rPr>
        <w:noProof/>
      </w:rPr>
      <w:drawing>
        <wp:anchor distT="114300" distB="114300" distL="114300" distR="114300" simplePos="0" relativeHeight="251657728" behindDoc="1" locked="0" layoutInCell="1"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48"/>
    <w:rsid w:val="00292980"/>
    <w:rsid w:val="002B22E3"/>
    <w:rsid w:val="004F776F"/>
    <w:rsid w:val="005C4655"/>
    <w:rsid w:val="005F23F3"/>
    <w:rsid w:val="006A7019"/>
    <w:rsid w:val="00711AAD"/>
    <w:rsid w:val="00716E49"/>
    <w:rsid w:val="00721D14"/>
    <w:rsid w:val="007D737B"/>
    <w:rsid w:val="007D7DA3"/>
    <w:rsid w:val="00A669C2"/>
    <w:rsid w:val="00BB06AC"/>
    <w:rsid w:val="00BC7C70"/>
    <w:rsid w:val="00C4424E"/>
    <w:rsid w:val="00E64E46"/>
    <w:rsid w:val="00F2735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177E42-8A2B-49DA-A76B-15EF8A6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semiHidden/>
    <w:unhideWhenUsed/>
    <w:rsid w:val="005F23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rsid w:val="005F23F3"/>
  </w:style>
  <w:style w:type="character" w:styleId="Hyperlink">
    <w:name w:val="Hyperlink"/>
    <w:uiPriority w:val="99"/>
    <w:semiHidden/>
    <w:unhideWhenUsed/>
    <w:rsid w:val="005F23F3"/>
    <w:rPr>
      <w:color w:val="0000FF"/>
      <w:u w:val="single"/>
    </w:rPr>
  </w:style>
  <w:style w:type="paragraph" w:styleId="Textodenotadefim">
    <w:name w:val="endnote text"/>
    <w:basedOn w:val="Normal"/>
    <w:link w:val="TextodenotadefimChar"/>
    <w:uiPriority w:val="99"/>
    <w:semiHidden/>
    <w:unhideWhenUsed/>
    <w:rsid w:val="007D7DA3"/>
    <w:rPr>
      <w:sz w:val="20"/>
      <w:szCs w:val="20"/>
    </w:rPr>
  </w:style>
  <w:style w:type="character" w:customStyle="1" w:styleId="TextodenotadefimChar">
    <w:name w:val="Texto de nota de fim Char"/>
    <w:basedOn w:val="Fontepargpadro"/>
    <w:link w:val="Textodenotadefim"/>
    <w:uiPriority w:val="99"/>
    <w:semiHidden/>
    <w:rsid w:val="007D7DA3"/>
  </w:style>
  <w:style w:type="character" w:styleId="Refdenotadefim">
    <w:name w:val="endnote reference"/>
    <w:uiPriority w:val="99"/>
    <w:semiHidden/>
    <w:unhideWhenUsed/>
    <w:rsid w:val="007D7DA3"/>
    <w:rPr>
      <w:vertAlign w:val="superscript"/>
    </w:rPr>
  </w:style>
  <w:style w:type="paragraph" w:styleId="Textodenotaderodap">
    <w:name w:val="footnote text"/>
    <w:basedOn w:val="Normal"/>
    <w:link w:val="TextodenotaderodapChar"/>
    <w:uiPriority w:val="99"/>
    <w:semiHidden/>
    <w:unhideWhenUsed/>
    <w:rsid w:val="007D7DA3"/>
    <w:rPr>
      <w:sz w:val="20"/>
      <w:szCs w:val="20"/>
    </w:rPr>
  </w:style>
  <w:style w:type="character" w:customStyle="1" w:styleId="TextodenotaderodapChar">
    <w:name w:val="Texto de nota de rodapé Char"/>
    <w:basedOn w:val="Fontepargpadro"/>
    <w:link w:val="Textodenotaderodap"/>
    <w:uiPriority w:val="99"/>
    <w:semiHidden/>
    <w:rsid w:val="007D7DA3"/>
  </w:style>
  <w:style w:type="character" w:styleId="Refdenotaderodap">
    <w:name w:val="footnote reference"/>
    <w:uiPriority w:val="99"/>
    <w:semiHidden/>
    <w:unhideWhenUsed/>
    <w:rsid w:val="007D7D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39137">
      <w:bodyDiv w:val="1"/>
      <w:marLeft w:val="0"/>
      <w:marRight w:val="0"/>
      <w:marTop w:val="0"/>
      <w:marBottom w:val="0"/>
      <w:divBdr>
        <w:top w:val="none" w:sz="0" w:space="0" w:color="auto"/>
        <w:left w:val="none" w:sz="0" w:space="0" w:color="auto"/>
        <w:bottom w:val="none" w:sz="0" w:space="0" w:color="auto"/>
        <w:right w:val="none" w:sz="0" w:space="0" w:color="auto"/>
      </w:divBdr>
    </w:div>
    <w:div w:id="210773055">
      <w:bodyDiv w:val="1"/>
      <w:marLeft w:val="0"/>
      <w:marRight w:val="0"/>
      <w:marTop w:val="0"/>
      <w:marBottom w:val="0"/>
      <w:divBdr>
        <w:top w:val="none" w:sz="0" w:space="0" w:color="auto"/>
        <w:left w:val="none" w:sz="0" w:space="0" w:color="auto"/>
        <w:bottom w:val="none" w:sz="0" w:space="0" w:color="auto"/>
        <w:right w:val="none" w:sz="0" w:space="0" w:color="auto"/>
      </w:divBdr>
    </w:div>
    <w:div w:id="1065179230">
      <w:bodyDiv w:val="1"/>
      <w:marLeft w:val="0"/>
      <w:marRight w:val="0"/>
      <w:marTop w:val="0"/>
      <w:marBottom w:val="0"/>
      <w:divBdr>
        <w:top w:val="none" w:sz="0" w:space="0" w:color="auto"/>
        <w:left w:val="none" w:sz="0" w:space="0" w:color="auto"/>
        <w:bottom w:val="none" w:sz="0" w:space="0" w:color="auto"/>
        <w:right w:val="none" w:sz="0" w:space="0" w:color="auto"/>
      </w:divBdr>
    </w:div>
    <w:div w:id="1137264499">
      <w:bodyDiv w:val="1"/>
      <w:marLeft w:val="0"/>
      <w:marRight w:val="0"/>
      <w:marTop w:val="0"/>
      <w:marBottom w:val="0"/>
      <w:divBdr>
        <w:top w:val="none" w:sz="0" w:space="0" w:color="auto"/>
        <w:left w:val="none" w:sz="0" w:space="0" w:color="auto"/>
        <w:bottom w:val="none" w:sz="0" w:space="0" w:color="auto"/>
        <w:right w:val="none" w:sz="0" w:space="0" w:color="auto"/>
      </w:divBdr>
    </w:div>
    <w:div w:id="1740472218">
      <w:bodyDiv w:val="1"/>
      <w:marLeft w:val="0"/>
      <w:marRight w:val="0"/>
      <w:marTop w:val="0"/>
      <w:marBottom w:val="0"/>
      <w:divBdr>
        <w:top w:val="none" w:sz="0" w:space="0" w:color="auto"/>
        <w:left w:val="none" w:sz="0" w:space="0" w:color="auto"/>
        <w:bottom w:val="none" w:sz="0" w:space="0" w:color="auto"/>
        <w:right w:val="none" w:sz="0" w:space="0" w:color="auto"/>
      </w:divBdr>
    </w:div>
    <w:div w:id="1823428011">
      <w:bodyDiv w:val="1"/>
      <w:marLeft w:val="0"/>
      <w:marRight w:val="0"/>
      <w:marTop w:val="0"/>
      <w:marBottom w:val="0"/>
      <w:divBdr>
        <w:top w:val="none" w:sz="0" w:space="0" w:color="auto"/>
        <w:left w:val="none" w:sz="0" w:space="0" w:color="auto"/>
        <w:bottom w:val="none" w:sz="0" w:space="0" w:color="auto"/>
        <w:right w:val="none" w:sz="0" w:space="0" w:color="auto"/>
      </w:divBdr>
    </w:div>
    <w:div w:id="1941142299">
      <w:bodyDiv w:val="1"/>
      <w:marLeft w:val="0"/>
      <w:marRight w:val="0"/>
      <w:marTop w:val="0"/>
      <w:marBottom w:val="0"/>
      <w:divBdr>
        <w:top w:val="none" w:sz="0" w:space="0" w:color="auto"/>
        <w:left w:val="none" w:sz="0" w:space="0" w:color="auto"/>
        <w:bottom w:val="none" w:sz="0" w:space="0" w:color="auto"/>
        <w:right w:val="none" w:sz="0" w:space="0" w:color="auto"/>
      </w:divBdr>
    </w:div>
    <w:div w:id="1964996832">
      <w:bodyDiv w:val="1"/>
      <w:marLeft w:val="0"/>
      <w:marRight w:val="0"/>
      <w:marTop w:val="0"/>
      <w:marBottom w:val="0"/>
      <w:divBdr>
        <w:top w:val="none" w:sz="0" w:space="0" w:color="auto"/>
        <w:left w:val="none" w:sz="0" w:space="0" w:color="auto"/>
        <w:bottom w:val="none" w:sz="0" w:space="0" w:color="auto"/>
        <w:right w:val="none" w:sz="0" w:space="0" w:color="auto"/>
      </w:divBdr>
    </w:div>
    <w:div w:id="2037344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positorio.ipea.gov.br/" TargetMode="External"/><Relationship Id="rId3" Type="http://schemas.openxmlformats.org/officeDocument/2006/relationships/settings" Target="settings.xml"/><Relationship Id="rId7" Type="http://schemas.openxmlformats.org/officeDocument/2006/relationships/hyperlink" Target="https://repositorio.ipea.gov.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8A5B1-BC22-4931-A7B2-B7006468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3755</Words>
  <Characters>20281</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23989</CharactersWithSpaces>
  <SharedDoc>false</SharedDoc>
  <HLinks>
    <vt:vector size="12" baseType="variant">
      <vt:variant>
        <vt:i4>1507401</vt:i4>
      </vt:variant>
      <vt:variant>
        <vt:i4>3</vt:i4>
      </vt:variant>
      <vt:variant>
        <vt:i4>0</vt:i4>
      </vt:variant>
      <vt:variant>
        <vt:i4>5</vt:i4>
      </vt:variant>
      <vt:variant>
        <vt:lpwstr>https://repositorio.ipea.gov.br/</vt:lpwstr>
      </vt:variant>
      <vt:variant>
        <vt:lpwstr/>
      </vt:variant>
      <vt:variant>
        <vt:i4>1507401</vt:i4>
      </vt:variant>
      <vt:variant>
        <vt:i4>0</vt:i4>
      </vt:variant>
      <vt:variant>
        <vt:i4>0</vt:i4>
      </vt:variant>
      <vt:variant>
        <vt:i4>5</vt:i4>
      </vt:variant>
      <vt:variant>
        <vt:lpwstr>https://repositorio.ipea.gov.br/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Alcaro</cp:lastModifiedBy>
  <cp:revision>2</cp:revision>
  <dcterms:created xsi:type="dcterms:W3CDTF">2025-07-06T21:22:00Z</dcterms:created>
  <dcterms:modified xsi:type="dcterms:W3CDTF">2025-07-06T21:22:00Z</dcterms:modified>
</cp:coreProperties>
</file>