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05B" w:rsidRPr="00D0105B" w:rsidRDefault="00D0105B" w:rsidP="00D0105B">
      <w:pPr>
        <w:spacing w:after="0" w:line="240" w:lineRule="auto"/>
        <w:jc w:val="center"/>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A PERMANENTE PRECARIZAÇÃO DO SISTEMA DE PREVIDÊNCIA SOCIAL PÚBLICO BRASILEIRO. As forças sociais no terceiro governo Lula da Silva.</w:t>
      </w:r>
    </w:p>
    <w:p w:rsidR="00D0105B" w:rsidRPr="00D0105B" w:rsidRDefault="00D0105B" w:rsidP="00243ECF">
      <w:pPr>
        <w:spacing w:before="120" w:after="0" w:line="240" w:lineRule="auto"/>
        <w:jc w:val="right"/>
        <w:rPr>
          <w:rFonts w:ascii="Times New Roman" w:eastAsia="Times New Roman" w:hAnsi="Times New Roman" w:cs="Times New Roman"/>
          <w:kern w:val="0"/>
          <w:sz w:val="22"/>
          <w:szCs w:val="22"/>
          <w:lang w:eastAsia="pt-BR"/>
          <w14:ligatures w14:val="none"/>
        </w:rPr>
      </w:pPr>
      <w:r w:rsidRPr="00D0105B">
        <w:rPr>
          <w:rFonts w:ascii="Arial" w:eastAsia="Times New Roman" w:hAnsi="Arial" w:cs="Arial"/>
          <w:color w:val="000000"/>
          <w:kern w:val="0"/>
          <w:sz w:val="22"/>
          <w:szCs w:val="22"/>
          <w:lang w:eastAsia="pt-BR"/>
          <w14:ligatures w14:val="none"/>
        </w:rPr>
        <w:t>Silvina V. Galizia</w:t>
      </w:r>
      <w:r w:rsidR="00243ECF" w:rsidRPr="0011309F">
        <w:rPr>
          <w:rStyle w:val="Refdenotaderodap"/>
          <w:rFonts w:ascii="Arial" w:eastAsia="Times New Roman" w:hAnsi="Arial" w:cs="Arial"/>
          <w:color w:val="000000"/>
          <w:kern w:val="0"/>
          <w:sz w:val="22"/>
          <w:szCs w:val="22"/>
          <w:lang w:eastAsia="pt-BR"/>
          <w14:ligatures w14:val="none"/>
        </w:rPr>
        <w:footnoteReference w:id="1"/>
      </w:r>
    </w:p>
    <w:p w:rsidR="00D0105B" w:rsidRPr="00D0105B" w:rsidRDefault="00D0105B" w:rsidP="00D0105B">
      <w:pPr>
        <w:spacing w:after="0" w:line="240" w:lineRule="auto"/>
        <w:jc w:val="right"/>
        <w:rPr>
          <w:rFonts w:ascii="Times New Roman" w:eastAsia="Times New Roman" w:hAnsi="Times New Roman" w:cs="Times New Roman"/>
          <w:kern w:val="0"/>
          <w:sz w:val="22"/>
          <w:szCs w:val="22"/>
          <w:lang w:eastAsia="pt-BR"/>
          <w14:ligatures w14:val="none"/>
        </w:rPr>
      </w:pPr>
      <w:r w:rsidRPr="00D0105B">
        <w:rPr>
          <w:rFonts w:ascii="Arial" w:eastAsia="Times New Roman" w:hAnsi="Arial" w:cs="Arial"/>
          <w:color w:val="000000"/>
          <w:kern w:val="0"/>
          <w:sz w:val="22"/>
          <w:szCs w:val="22"/>
          <w:lang w:eastAsia="pt-BR"/>
          <w14:ligatures w14:val="none"/>
        </w:rPr>
        <w:t>Bruna K. Silva</w:t>
      </w:r>
      <w:r w:rsidR="00243ECF" w:rsidRPr="0011309F">
        <w:rPr>
          <w:rStyle w:val="Refdenotaderodap"/>
          <w:rFonts w:ascii="Arial" w:eastAsia="Times New Roman" w:hAnsi="Arial" w:cs="Arial"/>
          <w:color w:val="000000"/>
          <w:kern w:val="0"/>
          <w:sz w:val="22"/>
          <w:szCs w:val="22"/>
          <w:lang w:eastAsia="pt-BR"/>
          <w14:ligatures w14:val="none"/>
        </w:rPr>
        <w:footnoteReference w:id="2"/>
      </w:r>
      <w:r w:rsidRPr="00D0105B">
        <w:rPr>
          <w:rFonts w:ascii="Arial" w:eastAsia="Times New Roman" w:hAnsi="Arial" w:cs="Arial"/>
          <w:color w:val="000000"/>
          <w:kern w:val="0"/>
          <w:sz w:val="22"/>
          <w:szCs w:val="22"/>
          <w:lang w:eastAsia="pt-BR"/>
          <w14:ligatures w14:val="none"/>
        </w:rPr>
        <w:br/>
        <w:t>Marina V. Almeida</w:t>
      </w:r>
      <w:r w:rsidR="00243ECF" w:rsidRPr="0011309F">
        <w:rPr>
          <w:rStyle w:val="Refdenotaderodap"/>
          <w:rFonts w:ascii="Arial" w:eastAsia="Times New Roman" w:hAnsi="Arial" w:cs="Arial"/>
          <w:color w:val="000000"/>
          <w:kern w:val="0"/>
          <w:sz w:val="22"/>
          <w:szCs w:val="22"/>
          <w:lang w:eastAsia="pt-BR"/>
          <w14:ligatures w14:val="none"/>
        </w:rPr>
        <w:footnoteReference w:id="3"/>
      </w:r>
    </w:p>
    <w:p w:rsidR="00D0105B" w:rsidRPr="00D0105B" w:rsidRDefault="00D0105B" w:rsidP="00243ECF">
      <w:pPr>
        <w:spacing w:before="120" w:after="0" w:line="240" w:lineRule="auto"/>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RESUMO</w:t>
      </w:r>
    </w:p>
    <w:p w:rsidR="00D0105B" w:rsidRPr="00D0105B" w:rsidRDefault="00D0105B" w:rsidP="00243ECF">
      <w:pPr>
        <w:spacing w:before="120" w:after="0" w:line="240" w:lineRule="auto"/>
        <w:ind w:left="2835"/>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sz w:val="20"/>
          <w:szCs w:val="20"/>
          <w:lang w:eastAsia="pt-BR"/>
          <w14:ligatures w14:val="none"/>
        </w:rPr>
        <w:t>Este trabalho, com base no Observatório da Previdência Social (2023-2024), analisa debates, pautas e políticas em torno da Previdência Social brasileira nos dois primeiros anos do III governo da coalizão Lula da Silva. Sustenta-se que o processo de precarização do sistema público segue em curso, articulado ao avanço dos fundos de pensão privados, numa dinâmica contínua desde 1998 e intensificada pelas reformas posteriores (2003, 2015 e 2019). Embora não haja, no curto prazo, uma nova “reforma” em pauta, as discussões e, sobretudo, os silêncios, entre as principais forças sociais, revelam a persistência de pressões neoliberais por “contrarreformas” expressas em: 1. a continuidade de processos de precarização da Previdência Social pública; 2. a manutenção do compromisso do governo de coalizão com os interesses do mercado financeiro; 3. expansão dos fundos de pensão, com crescimento de investimentos e cotistas, reforçando a financeirização do sistema.   </w:t>
      </w:r>
    </w:p>
    <w:p w:rsidR="00D0105B" w:rsidRPr="00D0105B" w:rsidRDefault="00D0105B" w:rsidP="00D0105B">
      <w:pPr>
        <w:spacing w:before="200" w:after="240" w:line="240" w:lineRule="auto"/>
        <w:ind w:left="2835"/>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sz w:val="20"/>
          <w:szCs w:val="20"/>
          <w:lang w:eastAsia="pt-BR"/>
          <w14:ligatures w14:val="none"/>
        </w:rPr>
        <w:t>Palavras chaves: Previdência Social; III Governo Lula da Silva; Forças sociais; Fundos de Pensões.</w:t>
      </w:r>
    </w:p>
    <w:p w:rsidR="00D0105B" w:rsidRPr="00D0105B" w:rsidRDefault="00D0105B" w:rsidP="00D0105B">
      <w:pPr>
        <w:spacing w:after="0" w:line="240" w:lineRule="auto"/>
        <w:ind w:left="2835"/>
        <w:jc w:val="both"/>
        <w:rPr>
          <w:rFonts w:ascii="Times New Roman" w:eastAsia="Times New Roman" w:hAnsi="Times New Roman" w:cs="Times New Roman"/>
          <w:kern w:val="0"/>
          <w:lang w:val="en-GB" w:eastAsia="pt-BR"/>
          <w14:ligatures w14:val="none"/>
        </w:rPr>
      </w:pPr>
      <w:r w:rsidRPr="00D0105B">
        <w:rPr>
          <w:rFonts w:ascii="Arial" w:eastAsia="Times New Roman" w:hAnsi="Arial" w:cs="Arial"/>
          <w:color w:val="000000"/>
          <w:kern w:val="0"/>
          <w:sz w:val="20"/>
          <w:szCs w:val="20"/>
          <w:lang w:val="en-GB" w:eastAsia="pt-BR"/>
          <w14:ligatures w14:val="none"/>
        </w:rPr>
        <w:t>Abstract: This paper, based on the Social Security Observatory (2023-2024), analyzes debates, agendas, and policies surrounding Brazilian Social Security in the first two years of the third government of the Lula da Silva coalition. It is argued that the process of precariousness of the public system is ongoing, linked to the advance of private pension funds, in a continuous dynamic since 1998 and intensified by subsequent reforms (2003, 2015, and 2019). Although there is no new “reform” on the agenda in the short term, the discussions and, above all, the silences among the main social forces reveal the persistence of neoliberal pressures for “counter-reforms” expressed in: 1. the continuation of processes of precariousness of public Social Security; 2. the maintenance of the coalition government's commitment to the interests of the financial market; 3. expansion of pension funds, with growth in investments and shareholders, reinforcing the financialization of the system. </w:t>
      </w:r>
    </w:p>
    <w:p w:rsidR="00D0105B" w:rsidRPr="00D0105B" w:rsidRDefault="00D0105B" w:rsidP="00D0105B">
      <w:pPr>
        <w:spacing w:before="200" w:after="0" w:line="240" w:lineRule="auto"/>
        <w:ind w:left="2835"/>
        <w:jc w:val="both"/>
        <w:rPr>
          <w:rFonts w:ascii="Times New Roman" w:eastAsia="Times New Roman" w:hAnsi="Times New Roman" w:cs="Times New Roman"/>
          <w:kern w:val="0"/>
          <w:lang w:val="en-GB" w:eastAsia="pt-BR"/>
          <w14:ligatures w14:val="none"/>
        </w:rPr>
      </w:pPr>
      <w:r w:rsidRPr="00D0105B">
        <w:rPr>
          <w:rFonts w:ascii="Arial" w:eastAsia="Times New Roman" w:hAnsi="Arial" w:cs="Arial"/>
          <w:color w:val="000000"/>
          <w:kern w:val="0"/>
          <w:sz w:val="20"/>
          <w:szCs w:val="20"/>
          <w:lang w:val="en-GB" w:eastAsia="pt-BR"/>
          <w14:ligatures w14:val="none"/>
        </w:rPr>
        <w:t>Key words: Social Security; III Lula da Silva Government;  Social forces; Pension funds.</w:t>
      </w:r>
    </w:p>
    <w:p w:rsidR="00D0105B" w:rsidRPr="00243ECF" w:rsidRDefault="00D0105B" w:rsidP="00EB695B">
      <w:pPr>
        <w:pStyle w:val="PargrafodaLista"/>
        <w:numPr>
          <w:ilvl w:val="0"/>
          <w:numId w:val="1"/>
        </w:numPr>
        <w:spacing w:before="240" w:after="120" w:line="240" w:lineRule="auto"/>
        <w:ind w:left="284" w:hanging="284"/>
        <w:jc w:val="both"/>
        <w:rPr>
          <w:rFonts w:ascii="Times New Roman" w:eastAsia="Times New Roman" w:hAnsi="Times New Roman" w:cs="Times New Roman"/>
          <w:kern w:val="0"/>
          <w:lang w:eastAsia="pt-BR"/>
          <w14:ligatures w14:val="none"/>
        </w:rPr>
      </w:pPr>
      <w:r w:rsidRPr="00243ECF">
        <w:rPr>
          <w:rFonts w:ascii="Arial" w:eastAsia="Times New Roman" w:hAnsi="Arial" w:cs="Arial"/>
          <w:b/>
          <w:bCs/>
          <w:color w:val="000000"/>
          <w:kern w:val="0"/>
          <w:lang w:eastAsia="pt-BR"/>
          <w14:ligatures w14:val="none"/>
        </w:rPr>
        <w:t>INTRODUÇÃO</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Entre 2018 e 2022, nossas produções identificaram e analisaram a relação entre o conjunto de “contrarreformas” ocorridas no sistema </w:t>
      </w:r>
      <w:r w:rsidRPr="00D0105B">
        <w:rPr>
          <w:rFonts w:ascii="Arial" w:eastAsia="Times New Roman" w:hAnsi="Arial" w:cs="Arial"/>
          <w:color w:val="000000"/>
          <w:kern w:val="0"/>
          <w:lang w:eastAsia="pt-BR"/>
          <w14:ligatures w14:val="none"/>
        </w:rPr>
        <w:lastRenderedPageBreak/>
        <w:t xml:space="preserve">previdenciário público (1998, 2003, 2015 e 2019) e o aumento da presença de Fundos de Pensões — Petros, Previ e Funcef — na Previdência Complementar. Essa reorganização da estrutura de proteção previdenciária </w:t>
      </w:r>
      <w:r w:rsidRPr="00D0105B">
        <w:rPr>
          <w:rFonts w:ascii="Arial" w:eastAsia="Times New Roman" w:hAnsi="Arial" w:cs="Arial"/>
          <w:b/>
          <w:bCs/>
          <w:color w:val="000000"/>
          <w:kern w:val="0"/>
          <w:lang w:eastAsia="pt-BR"/>
          <w14:ligatures w14:val="none"/>
        </w:rPr>
        <w:t>precariza materialmente a Previdência Social pública</w:t>
      </w:r>
      <w:r w:rsidRPr="00D0105B">
        <w:rPr>
          <w:rFonts w:ascii="Arial" w:eastAsia="Times New Roman" w:hAnsi="Arial" w:cs="Arial"/>
          <w:color w:val="000000"/>
          <w:kern w:val="0"/>
          <w:lang w:eastAsia="pt-BR"/>
          <w14:ligatures w14:val="none"/>
        </w:rPr>
        <w:t xml:space="preserve">, por meio da redução da quantidade e qualidade dos benefícios, do aumento das barreiras de acesso e da restrição de direitos. Esse processo ocorre necessariamente através da construção de um </w:t>
      </w:r>
      <w:r w:rsidRPr="00D0105B">
        <w:rPr>
          <w:rFonts w:ascii="Arial" w:eastAsia="Times New Roman" w:hAnsi="Arial" w:cs="Arial"/>
          <w:b/>
          <w:bCs/>
          <w:color w:val="000000"/>
          <w:kern w:val="0"/>
          <w:lang w:eastAsia="pt-BR"/>
          <w14:ligatures w14:val="none"/>
        </w:rPr>
        <w:t>consenso político-ideológico</w:t>
      </w:r>
      <w:r w:rsidRPr="00D0105B">
        <w:rPr>
          <w:rFonts w:ascii="Arial" w:eastAsia="Times New Roman" w:hAnsi="Arial" w:cs="Arial"/>
          <w:color w:val="000000"/>
          <w:kern w:val="0"/>
          <w:lang w:eastAsia="pt-BR"/>
          <w14:ligatures w14:val="none"/>
        </w:rPr>
        <w:t xml:space="preserve"> favorável à mercantilização e financeirização da política social previdenciária. Assim, se configura como uma </w:t>
      </w:r>
      <w:r w:rsidRPr="00D0105B">
        <w:rPr>
          <w:rFonts w:ascii="Arial" w:eastAsia="Times New Roman" w:hAnsi="Arial" w:cs="Arial"/>
          <w:b/>
          <w:bCs/>
          <w:color w:val="000000"/>
          <w:kern w:val="0"/>
          <w:lang w:eastAsia="pt-BR"/>
          <w14:ligatures w14:val="none"/>
        </w:rPr>
        <w:t>tendência geral e permanente</w:t>
      </w:r>
      <w:r w:rsidRPr="00D0105B">
        <w:rPr>
          <w:rFonts w:ascii="Arial" w:eastAsia="Times New Roman" w:hAnsi="Arial" w:cs="Arial"/>
          <w:color w:val="000000"/>
          <w:kern w:val="0"/>
          <w:lang w:eastAsia="pt-BR"/>
          <w14:ligatures w14:val="none"/>
        </w:rPr>
        <w:t xml:space="preserve"> que se desenvolve </w:t>
      </w:r>
      <w:r w:rsidRPr="00D0105B">
        <w:rPr>
          <w:rFonts w:ascii="Arial" w:eastAsia="Times New Roman" w:hAnsi="Arial" w:cs="Arial"/>
          <w:b/>
          <w:bCs/>
          <w:color w:val="000000"/>
          <w:kern w:val="0"/>
          <w:lang w:eastAsia="pt-BR"/>
          <w14:ligatures w14:val="none"/>
        </w:rPr>
        <w:t xml:space="preserve">independentemente </w:t>
      </w:r>
      <w:r w:rsidRPr="00D0105B">
        <w:rPr>
          <w:rFonts w:ascii="Arial" w:eastAsia="Times New Roman" w:hAnsi="Arial" w:cs="Arial"/>
          <w:color w:val="000000"/>
          <w:kern w:val="0"/>
          <w:lang w:eastAsia="pt-BR"/>
          <w14:ligatures w14:val="none"/>
        </w:rPr>
        <w:t>dos governos mais desenvolvimentistas ou heterodoxos ou ultra neoliberais ou ortodoxos que se sucederam no país nas últimas três décadas.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Com o objetivo de atualizar os debates e pautas sobre a Previdência Social brasileira, este texto, por meio do Observatório da Previdência Social (2023–2026), propõe acompanhar e interpretar criticamente os indícios do que compreendemos como uma </w:t>
      </w:r>
      <w:r w:rsidRPr="00D0105B">
        <w:rPr>
          <w:rFonts w:ascii="Arial" w:eastAsia="Times New Roman" w:hAnsi="Arial" w:cs="Arial"/>
          <w:b/>
          <w:bCs/>
          <w:color w:val="000000"/>
          <w:kern w:val="0"/>
          <w:lang w:eastAsia="pt-BR"/>
          <w14:ligatures w14:val="none"/>
        </w:rPr>
        <w:t>tendência permanente à precarização da previdência pública</w:t>
      </w:r>
      <w:r w:rsidRPr="00D0105B">
        <w:rPr>
          <w:rFonts w:ascii="Arial" w:eastAsia="Times New Roman" w:hAnsi="Arial" w:cs="Arial"/>
          <w:color w:val="000000"/>
          <w:kern w:val="0"/>
          <w:lang w:eastAsia="pt-BR"/>
          <w14:ligatures w14:val="none"/>
        </w:rPr>
        <w:t>, e juntamente acompanhar o crescimento contínuo dos cotizantes e dos investimentos nos maiores fundos de pensão fechados do país, o que evidencia a impossibilidade de compreender a política previdenciária dissociada dos processos de mercantilização e financeirização.</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Assim como Faleiros (1991) e Netto (1992), compreendemos as </w:t>
      </w:r>
      <w:r w:rsidRPr="00D0105B">
        <w:rPr>
          <w:rFonts w:ascii="Arial" w:eastAsia="Times New Roman" w:hAnsi="Arial" w:cs="Arial"/>
          <w:b/>
          <w:bCs/>
          <w:color w:val="000000"/>
          <w:kern w:val="0"/>
          <w:lang w:eastAsia="pt-BR"/>
          <w14:ligatures w14:val="none"/>
        </w:rPr>
        <w:t>políticas sociais</w:t>
      </w:r>
      <w:r w:rsidRPr="00D0105B">
        <w:rPr>
          <w:rFonts w:ascii="Arial" w:eastAsia="Times New Roman" w:hAnsi="Arial" w:cs="Arial"/>
          <w:color w:val="000000"/>
          <w:kern w:val="0"/>
          <w:lang w:eastAsia="pt-BR"/>
          <w14:ligatures w14:val="none"/>
        </w:rPr>
        <w:t xml:space="preserve"> como instrumentos de intervenção social do Estado, resultantes de conjunturas marcadas pelo confronto entre interesses econômicos e político-ideológicos — frequentemente contraditórios — de grupos com diferentes níveis de poder no interior das classes sociais. Trata-se de produtos de complexos jogos de demandas e respostas entre frações de classe específicas em cada área de intervenção social. Esses setores organizados configuram-se como </w:t>
      </w:r>
      <w:r w:rsidRPr="00D0105B">
        <w:rPr>
          <w:rFonts w:ascii="Arial" w:eastAsia="Times New Roman" w:hAnsi="Arial" w:cs="Arial"/>
          <w:b/>
          <w:bCs/>
          <w:color w:val="000000"/>
          <w:kern w:val="0"/>
          <w:lang w:eastAsia="pt-BR"/>
          <w14:ligatures w14:val="none"/>
        </w:rPr>
        <w:t>forças político-sociais</w:t>
      </w:r>
      <w:r w:rsidRPr="00D0105B">
        <w:rPr>
          <w:rFonts w:ascii="Arial" w:eastAsia="Times New Roman" w:hAnsi="Arial" w:cs="Arial"/>
          <w:color w:val="000000"/>
          <w:kern w:val="0"/>
          <w:lang w:eastAsia="pt-BR"/>
          <w14:ligatures w14:val="none"/>
        </w:rPr>
        <w:t xml:space="preserve"> que se mobilizam e se articulam a partir de interesses de classe, os quais podem assumir um caráter mais ou menos hegemônico. Uma força político-social se constitui, portanto, quando se mobiliza para concretizar seus interesses. O grupo, no interior de uma classe, que conseguir conduzir esse processo tornar-se-á hegemônico, ou seja, capaz de dirigir o processo de mudanças.  (Faleiros, idem).</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Portanto, desde 2023, início do terceiro governo Lula da Silva, propusemo-nos a observar o movimento político-institucional da Previdência </w:t>
      </w:r>
      <w:r w:rsidRPr="00D0105B">
        <w:rPr>
          <w:rFonts w:ascii="Arial" w:eastAsia="Times New Roman" w:hAnsi="Arial" w:cs="Arial"/>
          <w:color w:val="000000"/>
          <w:kern w:val="0"/>
          <w:lang w:eastAsia="pt-BR"/>
          <w14:ligatures w14:val="none"/>
        </w:rPr>
        <w:lastRenderedPageBreak/>
        <w:t>Social por meio das agendas de representações de distintas forças sociais, tanto da classe dominante quanto dos trabalhadores, dentro e fora do Estado.</w:t>
      </w:r>
      <w:r w:rsidR="00243ECF">
        <w:rPr>
          <w:rFonts w:ascii="Arial" w:eastAsia="Times New Roman" w:hAnsi="Arial" w:cs="Arial"/>
          <w:color w:val="000000"/>
          <w:kern w:val="0"/>
          <w:lang w:eastAsia="pt-BR"/>
          <w14:ligatures w14:val="none"/>
        </w:rPr>
        <w:t xml:space="preserve"> </w:t>
      </w:r>
      <w:r w:rsidRPr="00D0105B">
        <w:rPr>
          <w:rFonts w:ascii="Arial" w:eastAsia="Times New Roman" w:hAnsi="Arial" w:cs="Arial"/>
          <w:color w:val="000000"/>
          <w:kern w:val="0"/>
          <w:lang w:eastAsia="pt-BR"/>
          <w14:ligatures w14:val="none"/>
        </w:rPr>
        <w:t xml:space="preserve">Com o </w:t>
      </w:r>
      <w:r w:rsidRPr="00D0105B">
        <w:rPr>
          <w:rFonts w:ascii="Arial" w:eastAsia="Times New Roman" w:hAnsi="Arial" w:cs="Arial"/>
          <w:b/>
          <w:bCs/>
          <w:color w:val="000000"/>
          <w:kern w:val="0"/>
          <w:lang w:eastAsia="pt-BR"/>
          <w14:ligatures w14:val="none"/>
        </w:rPr>
        <w:t>Observatório da Previdência Social</w:t>
      </w:r>
      <w:r w:rsidRPr="00D0105B">
        <w:rPr>
          <w:rFonts w:ascii="Arial" w:eastAsia="Times New Roman" w:hAnsi="Arial" w:cs="Arial"/>
          <w:color w:val="000000"/>
          <w:kern w:val="0"/>
          <w:lang w:eastAsia="pt-BR"/>
          <w14:ligatures w14:val="none"/>
        </w:rPr>
        <w:t xml:space="preserve">, acompanhamos os atuais movimentos e pautas tratadas para a área da Previdência Social pública brasileira no contexto dos dois primeiros anos do III governo Lula da Silva. Adotamos como </w:t>
      </w:r>
      <w:r w:rsidRPr="00D0105B">
        <w:rPr>
          <w:rFonts w:ascii="Arial" w:eastAsia="Times New Roman" w:hAnsi="Arial" w:cs="Arial"/>
          <w:b/>
          <w:bCs/>
          <w:color w:val="000000"/>
          <w:kern w:val="0"/>
          <w:lang w:eastAsia="pt-BR"/>
          <w14:ligatures w14:val="none"/>
        </w:rPr>
        <w:t>recurso metodológico</w:t>
      </w:r>
      <w:r w:rsidRPr="00D0105B">
        <w:rPr>
          <w:rFonts w:ascii="Arial" w:eastAsia="Times New Roman" w:hAnsi="Arial" w:cs="Arial"/>
          <w:color w:val="000000"/>
          <w:kern w:val="0"/>
          <w:lang w:eastAsia="pt-BR"/>
          <w14:ligatures w14:val="none"/>
        </w:rPr>
        <w:t xml:space="preserve"> da pesquisa, o monitoramento e sistematização de fontes secundárias (matérias jornalísticas, relatórios de entidades públicas e privadas, atualização da situação atuarial dos principais Fundos de Pensões fechados), fontes oficiais (Comissões Especiais das Câmaras de Deputados e Senadores) e da sociedade civil (Central Única dos Trabalhadores, Associação Nacional de Fiscais da Receita Federal), economistas (lobistas do mercado financeiro), com o intuito de abranger representantes de diversos grupos político sociais vinculados à área da Previdência Social. Categorizamos as informações coletadas, identificando temas, pautas, padrões de atuação, ausências e contradições entre as principais forças político-sociais, além de recuperar a produção crítica sobre a Previdência Social.</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Quanto à mídia, entendemos que grande parte dos meios de comunicação “hegemônicos”, junto a diversas entidades e instituições públicas e privadas, exercem uma função central e estratégica na formulação e direcionamento do pensamento da população, buscando difundir as ideias dominantes. Por isso, categorizamos as matérias em dois grupos: mídia “hegemônica”</w:t>
      </w:r>
      <w:r w:rsidR="00CF2275">
        <w:rPr>
          <w:rStyle w:val="Refdenotaderodap"/>
          <w:rFonts w:ascii="Arial" w:eastAsia="Times New Roman" w:hAnsi="Arial" w:cs="Arial"/>
          <w:color w:val="000000"/>
          <w:kern w:val="0"/>
          <w:lang w:eastAsia="pt-BR"/>
          <w14:ligatures w14:val="none"/>
        </w:rPr>
        <w:footnoteReference w:id="4"/>
      </w:r>
      <w:r w:rsidRPr="00D0105B">
        <w:rPr>
          <w:rFonts w:ascii="Arial" w:eastAsia="Times New Roman" w:hAnsi="Arial" w:cs="Arial"/>
          <w:color w:val="000000"/>
          <w:kern w:val="0"/>
          <w:lang w:eastAsia="pt-BR"/>
          <w14:ligatures w14:val="none"/>
        </w:rPr>
        <w:t xml:space="preserve"> e “progressista”</w:t>
      </w:r>
      <w:r w:rsidR="00CF2275">
        <w:rPr>
          <w:rStyle w:val="Refdenotaderodap"/>
          <w:rFonts w:ascii="Arial" w:eastAsia="Times New Roman" w:hAnsi="Arial" w:cs="Arial"/>
          <w:color w:val="000000"/>
          <w:kern w:val="0"/>
          <w:lang w:eastAsia="pt-BR"/>
          <w14:ligatures w14:val="none"/>
        </w:rPr>
        <w:footnoteReference w:id="5"/>
      </w:r>
      <w:r w:rsidRPr="00D0105B">
        <w:rPr>
          <w:rFonts w:ascii="Arial" w:eastAsia="Times New Roman" w:hAnsi="Arial" w:cs="Arial"/>
          <w:color w:val="000000"/>
          <w:kern w:val="0"/>
          <w:lang w:eastAsia="pt-BR"/>
          <w14:ligatures w14:val="none"/>
        </w:rPr>
        <w:t>.</w:t>
      </w:r>
    </w:p>
    <w:p w:rsidR="0011309F" w:rsidRDefault="0011309F" w:rsidP="00EB53D3">
      <w:pPr>
        <w:spacing w:after="0" w:line="360" w:lineRule="auto"/>
        <w:ind w:firstLine="720"/>
        <w:jc w:val="both"/>
        <w:rPr>
          <w:rFonts w:ascii="Arial" w:eastAsia="Times New Roman" w:hAnsi="Arial" w:cs="Arial"/>
          <w:color w:val="000000"/>
          <w:kern w:val="0"/>
          <w:shd w:val="clear" w:color="auto" w:fill="FFFFFF"/>
          <w:lang w:eastAsia="pt-BR"/>
          <w14:ligatures w14:val="none"/>
        </w:rPr>
      </w:pPr>
      <w:r w:rsidRPr="0011309F">
        <w:rPr>
          <w:rFonts w:ascii="Arial" w:eastAsia="Times New Roman" w:hAnsi="Arial" w:cs="Arial"/>
          <w:color w:val="000000"/>
          <w:kern w:val="0"/>
          <w:shd w:val="clear" w:color="auto" w:fill="FFFFFF"/>
          <w:lang w:eastAsia="pt-BR"/>
          <w14:ligatures w14:val="none"/>
        </w:rPr>
        <w:t>O Observatório entende as fontes como expressões dos “intelectuais orgânicos” (Gramsci, 1988</w:t>
      </w:r>
      <w:r>
        <w:rPr>
          <w:rFonts w:ascii="Arial" w:eastAsia="Times New Roman" w:hAnsi="Arial" w:cs="Arial"/>
          <w:color w:val="000000"/>
          <w:kern w:val="0"/>
          <w:shd w:val="clear" w:color="auto" w:fill="FFFFFF"/>
          <w:lang w:eastAsia="pt-BR"/>
          <w14:ligatures w14:val="none"/>
        </w:rPr>
        <w:t>, p. 388</w:t>
      </w:r>
      <w:r w:rsidRPr="0011309F">
        <w:rPr>
          <w:rFonts w:ascii="Arial" w:eastAsia="Times New Roman" w:hAnsi="Arial" w:cs="Arial"/>
          <w:color w:val="000000"/>
          <w:kern w:val="0"/>
          <w:shd w:val="clear" w:color="auto" w:fill="FFFFFF"/>
          <w:lang w:eastAsia="pt-BR"/>
          <w14:ligatures w14:val="none"/>
        </w:rPr>
        <w:t>) — sujeitos que articulam e difundem a visão, interesses e valores de uma classe nos âmbitos econômico, político e cultural. São líderes sindicais, jornalistas, professores, técnicos ou gestores que, por sua prática teórica, contribuem para a organização da classe, a formação da consciência e a manutenção do poder hegemônico.</w:t>
      </w:r>
      <w:r>
        <w:rPr>
          <w:rFonts w:ascii="Arial" w:eastAsia="Times New Roman" w:hAnsi="Arial" w:cs="Arial"/>
          <w:color w:val="000000"/>
          <w:kern w:val="0"/>
          <w:shd w:val="clear" w:color="auto" w:fill="FFFFFF"/>
          <w:lang w:eastAsia="pt-BR"/>
          <w14:ligatures w14:val="none"/>
        </w:rPr>
        <w:t xml:space="preserve"> </w:t>
      </w:r>
    </w:p>
    <w:p w:rsidR="00EB53D3" w:rsidRPr="00EB53D3" w:rsidRDefault="00EB53D3" w:rsidP="00EB53D3">
      <w:pPr>
        <w:spacing w:after="0" w:line="360" w:lineRule="auto"/>
        <w:ind w:firstLine="720"/>
        <w:jc w:val="both"/>
        <w:rPr>
          <w:rFonts w:ascii="Arial" w:eastAsia="Times New Roman" w:hAnsi="Arial" w:cs="Arial"/>
          <w:color w:val="000000"/>
          <w:kern w:val="0"/>
          <w:shd w:val="clear" w:color="auto" w:fill="FFFFFF"/>
          <w:lang w:eastAsia="pt-BR"/>
          <w14:ligatures w14:val="none"/>
        </w:rPr>
      </w:pPr>
      <w:r w:rsidRPr="00EB53D3">
        <w:rPr>
          <w:rFonts w:ascii="Arial" w:eastAsia="Times New Roman" w:hAnsi="Arial" w:cs="Arial"/>
          <w:color w:val="000000"/>
          <w:kern w:val="0"/>
          <w:shd w:val="clear" w:color="auto" w:fill="FFFFFF"/>
          <w:lang w:eastAsia="pt-BR"/>
          <w14:ligatures w14:val="none"/>
        </w:rPr>
        <w:lastRenderedPageBreak/>
        <w:t xml:space="preserve">A sistematização das fontes revelou novas iniciativas e a repetição de temas antigos, além da ausência de pautas em setores organizados, evidenciando </w:t>
      </w:r>
      <w:r>
        <w:rPr>
          <w:rFonts w:ascii="Arial" w:eastAsia="Times New Roman" w:hAnsi="Arial" w:cs="Arial"/>
          <w:color w:val="000000"/>
          <w:kern w:val="0"/>
          <w:shd w:val="clear" w:color="auto" w:fill="FFFFFF"/>
          <w:lang w:eastAsia="pt-BR"/>
          <w14:ligatures w14:val="none"/>
        </w:rPr>
        <w:t xml:space="preserve">uma contínua </w:t>
      </w:r>
      <w:r w:rsidRPr="00EB53D3">
        <w:rPr>
          <w:rFonts w:ascii="Arial" w:eastAsia="Times New Roman" w:hAnsi="Arial" w:cs="Arial"/>
          <w:color w:val="000000"/>
          <w:kern w:val="0"/>
          <w:shd w:val="clear" w:color="auto" w:fill="FFFFFF"/>
          <w:lang w:eastAsia="pt-BR"/>
          <w14:ligatures w14:val="none"/>
        </w:rPr>
        <w:t>precarização da Previdência nos dois primeiros anos do III governo Lula e a retomada dos discursos que sustentam novas “contrarreformas” e o avanço dos fundos de pensão.</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shd w:val="clear" w:color="auto" w:fill="FFFFFF"/>
          <w:lang w:eastAsia="pt-BR"/>
          <w14:ligatures w14:val="none"/>
        </w:rPr>
        <w:t>Dividimos o trabalho em: as principais características do III Governo de coalizão Lula da Silva; a contínua precarização da Previdência Social pública constatada através das propostas e ações ou a ausência de debates e pautas das forças sociais tradicionalmente envolvidas no debate; o aumento dos fundos de pensões em termos de investimentos e quantidade de cotizantes.</w:t>
      </w:r>
    </w:p>
    <w:p w:rsidR="00D0105B" w:rsidRPr="00D0105B" w:rsidRDefault="00EB695B" w:rsidP="00EB695B">
      <w:pPr>
        <w:tabs>
          <w:tab w:val="left" w:pos="426"/>
        </w:tabs>
        <w:spacing w:before="240" w:after="120" w:line="240" w:lineRule="auto"/>
        <w:ind w:left="284" w:hanging="284"/>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2. O III GOVERNO</w:t>
      </w:r>
      <w:r>
        <w:rPr>
          <w:rFonts w:ascii="Arial" w:eastAsia="Times New Roman" w:hAnsi="Arial" w:cs="Arial"/>
          <w:b/>
          <w:bCs/>
          <w:color w:val="000000"/>
          <w:kern w:val="0"/>
          <w:lang w:eastAsia="pt-BR"/>
          <w14:ligatures w14:val="none"/>
        </w:rPr>
        <w:t xml:space="preserve"> DE COALIZÃO </w:t>
      </w:r>
      <w:r w:rsidRPr="00D0105B">
        <w:rPr>
          <w:rFonts w:ascii="Arial" w:eastAsia="Times New Roman" w:hAnsi="Arial" w:cs="Arial"/>
          <w:b/>
          <w:bCs/>
          <w:color w:val="000000"/>
          <w:kern w:val="0"/>
          <w:lang w:eastAsia="pt-BR"/>
          <w14:ligatures w14:val="none"/>
        </w:rPr>
        <w:t>LULA DA SILVA</w:t>
      </w:r>
    </w:p>
    <w:p w:rsidR="00D0105B" w:rsidRPr="00D0105B" w:rsidRDefault="00D0105B" w:rsidP="00243ECF">
      <w:pPr>
        <w:spacing w:before="240"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O terceiro governo Lula situa-se num cenário muito distinto dos mandatos anteriores (2003-2006 e 2007-2010). Em primeiro lugar, em 2022, Lula da Silva vence as eleições e assume com o objetivo central de derrotar politicamente a extrema direita que havia (des)governado o Brasil entre 2019 e 2022, conformando uma ampla frente composta por partidos políticos por partidos de esquerda, centro e direita. Desde aqui, podemos categorizá-lo como “presidencialismo de coalizão” (Filgueira, et. al., 2023) ou “governo de coalizão”. Sob constante ameaça da ultra direita antidemocrática que atua real e virtualmente contra as regras e instituições democráticas, o governo de coalizão realiza grandes esforços para a reconstituição e manutenção da democracia brasileira. Em segundo lugar, o governo assume num cenário com uma alta fragmentação parlamentar, com predominância de forças da direita conservadora (centrão, bancada evangélica, ruralista, militar, entre outras). As relações entre as forças sociais no interior do legislativo se restringem à troca de cargos e verbas. Estes elementos deixam em evidência que há limites fortes a qualquer agenda de transformações em pautas econômicas, sociais, ambientais, de costumes, direitos, etc., com certo apoio aos setores subalternos.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Na área econômica, o governo assume recriando uma versão “</w:t>
      </w:r>
      <w:r w:rsidRPr="00D0105B">
        <w:rPr>
          <w:rFonts w:ascii="Arial" w:eastAsia="Times New Roman" w:hAnsi="Arial" w:cs="Arial"/>
          <w:b/>
          <w:bCs/>
          <w:color w:val="000000"/>
          <w:kern w:val="0"/>
          <w:lang w:eastAsia="pt-BR"/>
          <w14:ligatures w14:val="none"/>
        </w:rPr>
        <w:t>neodesenvolvimentista”</w:t>
      </w:r>
      <w:r w:rsidRPr="00D0105B">
        <w:rPr>
          <w:rFonts w:ascii="Arial" w:eastAsia="Times New Roman" w:hAnsi="Arial" w:cs="Arial"/>
          <w:color w:val="000000"/>
          <w:kern w:val="0"/>
          <w:lang w:eastAsia="pt-BR"/>
          <w14:ligatures w14:val="none"/>
        </w:rPr>
        <w:t xml:space="preserve"> anterior, porém mais restrita em termos de investimentos públicos, industrialização verde e programas sociais muito mais austeros. Os limites se observam em que estas ações esbarram, de início, com </w:t>
      </w:r>
      <w:r w:rsidRPr="00D0105B">
        <w:rPr>
          <w:rFonts w:ascii="Arial" w:eastAsia="Times New Roman" w:hAnsi="Arial" w:cs="Arial"/>
          <w:color w:val="000000"/>
          <w:kern w:val="0"/>
          <w:lang w:eastAsia="pt-BR"/>
          <w14:ligatures w14:val="none"/>
        </w:rPr>
        <w:lastRenderedPageBreak/>
        <w:t>medidas abertas de responsabilidade fiscal tais como o Arcabouço Fiscal</w:t>
      </w:r>
      <w:r w:rsidR="00CF2275">
        <w:rPr>
          <w:rStyle w:val="Refdenotaderodap"/>
          <w:rFonts w:ascii="Arial" w:eastAsia="Times New Roman" w:hAnsi="Arial" w:cs="Arial"/>
          <w:color w:val="000000"/>
          <w:kern w:val="0"/>
          <w:lang w:eastAsia="pt-BR"/>
          <w14:ligatures w14:val="none"/>
        </w:rPr>
        <w:footnoteReference w:id="6"/>
      </w:r>
      <w:r w:rsidRPr="00D0105B">
        <w:rPr>
          <w:rFonts w:ascii="Arial" w:eastAsia="Times New Roman" w:hAnsi="Arial" w:cs="Arial"/>
          <w:color w:val="000000"/>
          <w:kern w:val="0"/>
          <w:lang w:eastAsia="pt-BR"/>
          <w14:ligatures w14:val="none"/>
        </w:rPr>
        <w:t>, manutenção da autonomia do Banco Central e metas de superávit primário</w:t>
      </w:r>
      <w:r w:rsidR="00EB53D3">
        <w:rPr>
          <w:rStyle w:val="Refdenotaderodap"/>
          <w:rFonts w:ascii="Arial" w:eastAsia="Times New Roman" w:hAnsi="Arial" w:cs="Arial"/>
          <w:color w:val="000000"/>
          <w:kern w:val="0"/>
          <w:lang w:eastAsia="pt-BR"/>
          <w14:ligatures w14:val="none"/>
        </w:rPr>
        <w:footnoteReference w:id="7"/>
      </w:r>
      <w:r w:rsidRPr="00D0105B">
        <w:rPr>
          <w:rFonts w:ascii="Arial" w:eastAsia="Times New Roman" w:hAnsi="Arial" w:cs="Arial"/>
          <w:color w:val="000000"/>
          <w:kern w:val="0"/>
          <w:lang w:eastAsia="pt-BR"/>
          <w14:ligatures w14:val="none"/>
        </w:rPr>
        <w:t>. Os próprios investimentos do Novo Programa de Aceleração do Crescimento (PAC 2023-2025), estão muito limitados pelo ajuste fiscal. Estes fatos nos revelam avanços muito restritos.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Mais uma vez, no interior da atual correlação de forças, o mercado financeiro é o setor que mais exerce pressão para implementar o “ajuste fiscal permanente”, o que denota que se segue na disputa pelo controle e apropriação do Fundo Público (gastos sociais versus juros para o capital). Neste conflito de interesses, portanto, as pressões financeiras se sobrepõem às prioridades sociais. Entendemos, tal como Filgueiras, et. al. (2023, p. 4), que o governo de frente ampla é, na verdade, um governo neoliberal; se reconhecem as desigualdades, a pobreza, a fome, mas o orçamento está comprometido com o mercado financeiro: pago de juros da dívida pública, com uma política macroeconômica neoliberal, de ajuste fiscal via teto de gastos e autonomia do Banco Central.</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Nesse cenário de disputas orçamentárias, a frente governante, com grande esforço político, recupera minimamente programas destruídos pelo governo Bolsonaro (2019-2022), como Bolsa Família, valorização do salário mínimo, Minha Casa Minha Vida, Farmácia Popular, cotas e direitos LGBT. Essas políticas de assistência, combate à fome e direitos humanos ganham centralidade, ao contrário da Previdência Social, que segue sem avanços estruturais. Estas mudanças têm um impacto importante, mas não representam uma reestruturação profunda do sistema integrado de políticas sociais permanentes como saúde, educação e previdência social, um conjunto que garanta direitos sociais amplos e permanentes, que influenciam na mobilidade social, na reprodução e bem estar da maioria dos trabalhadores.</w:t>
      </w:r>
    </w:p>
    <w:p w:rsidR="00D0105B" w:rsidRPr="00D0105B" w:rsidRDefault="00D0105B" w:rsidP="00EB695B">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Vejamos, através do Observatório, quais são os movimentos da área da política de Previdência Social nestes dois anos do governo de coalizão do Lula da Silva.</w:t>
      </w:r>
    </w:p>
    <w:p w:rsidR="00D0105B" w:rsidRPr="00D0105B" w:rsidRDefault="00D0105B" w:rsidP="00EB695B">
      <w:pPr>
        <w:spacing w:before="120" w:after="120" w:line="240" w:lineRule="auto"/>
        <w:ind w:left="284" w:hanging="284"/>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lastRenderedPageBreak/>
        <w:t xml:space="preserve">3. </w:t>
      </w:r>
      <w:r w:rsidR="00EB695B" w:rsidRPr="00D0105B">
        <w:rPr>
          <w:rFonts w:ascii="Arial" w:eastAsia="Times New Roman" w:hAnsi="Arial" w:cs="Arial"/>
          <w:b/>
          <w:bCs/>
          <w:color w:val="000000"/>
          <w:kern w:val="0"/>
          <w:lang w:eastAsia="pt-BR"/>
          <w14:ligatures w14:val="none"/>
        </w:rPr>
        <w:t>AS PAUTAS DAS FORÇAS POLÍTICO SOCIAIS PARA A PREVIDÊNCIA SOCIAL NO III</w:t>
      </w:r>
      <w:r w:rsidR="00EB695B">
        <w:rPr>
          <w:rFonts w:ascii="Arial" w:eastAsia="Times New Roman" w:hAnsi="Arial" w:cs="Arial"/>
          <w:b/>
          <w:bCs/>
          <w:color w:val="000000"/>
          <w:kern w:val="0"/>
          <w:lang w:eastAsia="pt-BR"/>
          <w14:ligatures w14:val="none"/>
        </w:rPr>
        <w:t xml:space="preserve"> GOVERNO LULA DA SILVA</w:t>
      </w:r>
    </w:p>
    <w:p w:rsidR="00D0105B" w:rsidRPr="00D0105B" w:rsidRDefault="00D0105B" w:rsidP="00EB695B">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O Observatório da Previdência Social foca na análise da tendência à precarização da Previdência, por meio do exame de matérias jornalísticas de 2023 e 2024 e do acompanhamento sistemático dos trabalhos da Comissão de Assuntos Sociais do Senado (CAS) e da Comissão de Previdência da Câmara (CPASF). Também são monitoradas as pautas da CUT e do Conselho Nacional da Previdência Social, com o objetivo de compreender os principais debates e abarcar as principais forças sociopolíticas que atuam na área.</w:t>
      </w:r>
    </w:p>
    <w:p w:rsidR="00D0105B" w:rsidRPr="00D0105B" w:rsidRDefault="00D0105B" w:rsidP="00EB695B">
      <w:pPr>
        <w:spacing w:before="120" w:after="120" w:line="240" w:lineRule="auto"/>
        <w:ind w:left="425" w:hanging="425"/>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3.1. Novas Formas de Precarização da Previdência Social Públic</w:t>
      </w:r>
      <w:r w:rsidR="00EB695B">
        <w:rPr>
          <w:rFonts w:ascii="Arial" w:eastAsia="Times New Roman" w:hAnsi="Arial" w:cs="Arial"/>
          <w:color w:val="000000"/>
          <w:kern w:val="0"/>
          <w:lang w:eastAsia="pt-BR"/>
          <w14:ligatures w14:val="none"/>
        </w:rPr>
        <w:t>a</w:t>
      </w:r>
    </w:p>
    <w:p w:rsidR="00D0105B" w:rsidRPr="00D0105B" w:rsidRDefault="00D0105B" w:rsidP="0011309F">
      <w:pPr>
        <w:spacing w:before="120"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O III Governo de coalizão Lula da Silva, podia apresentar um possível reposicionamento do Estado diante das políticas sociais, especialmente no que tange à Previdência Social. A nomeação de Carlos Lupi como Ministro da Previdência sugeriu uma mudança de discurso e de prioridade em relação ao governo anterior, caracterizado por mais uma “reforma” previdenciária focada na redução dos gastos públicos sociais e em medidas que diminuíram a proteção social (benefícios e auxílios).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Nos primeiros dias de mandato, o então ministro declarou que a revisão crítica da “reforma” da Previdência</w:t>
      </w:r>
      <w:r w:rsidR="00A223C8">
        <w:rPr>
          <w:rFonts w:ascii="Arial" w:eastAsia="Times New Roman" w:hAnsi="Arial" w:cs="Arial"/>
          <w:color w:val="000000"/>
          <w:kern w:val="0"/>
          <w:lang w:eastAsia="pt-BR"/>
          <w14:ligatures w14:val="none"/>
        </w:rPr>
        <w:t>,</w:t>
      </w:r>
      <w:r w:rsidRPr="00D0105B">
        <w:rPr>
          <w:rFonts w:ascii="Arial" w:eastAsia="Times New Roman" w:hAnsi="Arial" w:cs="Arial"/>
          <w:color w:val="000000"/>
          <w:kern w:val="0"/>
          <w:lang w:eastAsia="pt-BR"/>
          <w14:ligatures w14:val="none"/>
        </w:rPr>
        <w:t xml:space="preserve"> aprovada durante o governo Bolsonaro</w:t>
      </w:r>
      <w:r w:rsidR="00A223C8">
        <w:rPr>
          <w:rFonts w:ascii="Arial" w:eastAsia="Times New Roman" w:hAnsi="Arial" w:cs="Arial"/>
          <w:color w:val="000000"/>
          <w:kern w:val="0"/>
          <w:lang w:eastAsia="pt-BR"/>
          <w14:ligatures w14:val="none"/>
        </w:rPr>
        <w:t>,</w:t>
      </w:r>
      <w:r w:rsidRPr="00D0105B">
        <w:rPr>
          <w:rFonts w:ascii="Arial" w:eastAsia="Times New Roman" w:hAnsi="Arial" w:cs="Arial"/>
          <w:color w:val="000000"/>
          <w:kern w:val="0"/>
          <w:lang w:eastAsia="pt-BR"/>
          <w14:ligatures w14:val="none"/>
        </w:rPr>
        <w:t xml:space="preserve"> estava dentro de seu plano de ação, além do compromisso de eliminar a fila de espera do INSS em até um ano. Entretanto, Lupi foi prontamente desautorizado pelo</w:t>
      </w:r>
      <w:r w:rsidR="00A223C8">
        <w:rPr>
          <w:rFonts w:ascii="Arial" w:eastAsia="Times New Roman" w:hAnsi="Arial" w:cs="Arial"/>
          <w:color w:val="000000"/>
          <w:kern w:val="0"/>
          <w:lang w:eastAsia="pt-BR"/>
          <w14:ligatures w14:val="none"/>
        </w:rPr>
        <w:t xml:space="preserve"> Governo</w:t>
      </w:r>
      <w:r w:rsidRPr="00D0105B">
        <w:rPr>
          <w:rFonts w:ascii="Arial" w:eastAsia="Times New Roman" w:hAnsi="Arial" w:cs="Arial"/>
          <w:color w:val="000000"/>
          <w:kern w:val="0"/>
          <w:lang w:eastAsia="pt-BR"/>
          <w14:ligatures w14:val="none"/>
        </w:rPr>
        <w:t>, revelando o caráter meramente intencional de seu posicionamento. Tomaremos essas duas primeiras declarações do ministro junto às propostas do Conselho Nacional da Previdência Social (CNPS) como ponto de partida para analisarmos a constante tendência à precarização da Previdência durante seu terceiro mandato</w:t>
      </w:r>
      <w:r w:rsidR="00A223C8">
        <w:rPr>
          <w:rFonts w:ascii="Arial" w:eastAsia="Times New Roman" w:hAnsi="Arial" w:cs="Arial"/>
          <w:color w:val="000000"/>
          <w:kern w:val="0"/>
          <w:lang w:eastAsia="pt-BR"/>
          <w14:ligatures w14:val="none"/>
        </w:rPr>
        <w:t>.</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Efetivamente, em primeiro lugar, destaca-se inicialmente a recusa de uma revisão da “contrarreforma” ocorrida no governo Bolsonaro, ação que demonstra de forma nítida que a Previdência Social não figura entre as prioridades da agenda governamental. Em segundo, a medida proposta para </w:t>
      </w:r>
      <w:r w:rsidRPr="00D0105B">
        <w:rPr>
          <w:rFonts w:ascii="Arial" w:eastAsia="Times New Roman" w:hAnsi="Arial" w:cs="Arial"/>
          <w:b/>
          <w:bCs/>
          <w:color w:val="000000"/>
          <w:kern w:val="0"/>
          <w:lang w:eastAsia="pt-BR"/>
          <w14:ligatures w14:val="none"/>
        </w:rPr>
        <w:t>zerar a fila</w:t>
      </w:r>
      <w:r w:rsidRPr="00D0105B">
        <w:rPr>
          <w:rFonts w:ascii="Arial" w:eastAsia="Times New Roman" w:hAnsi="Arial" w:cs="Arial"/>
          <w:color w:val="000000"/>
          <w:kern w:val="0"/>
          <w:lang w:eastAsia="pt-BR"/>
          <w14:ligatures w14:val="none"/>
        </w:rPr>
        <w:t xml:space="preserve"> de espera do INSS vem travestida de caráter protetor com relação à classe trabalhadora, porém a instrumentalidade necessária para esses fins revela o fundo tecnicista e funcionalista da estratégia. À primeira vista, e do ponto de vista dos contribuintes, essa iniciativa poderia ser considerada positiva. No entanto, o </w:t>
      </w:r>
      <w:r w:rsidRPr="00D0105B">
        <w:rPr>
          <w:rFonts w:ascii="Arial" w:eastAsia="Times New Roman" w:hAnsi="Arial" w:cs="Arial"/>
          <w:color w:val="000000"/>
          <w:kern w:val="0"/>
          <w:lang w:eastAsia="pt-BR"/>
          <w14:ligatures w14:val="none"/>
        </w:rPr>
        <w:lastRenderedPageBreak/>
        <w:t>projeto prevê a concessão de bônus por produtividade — R$ 68 por tarefa para servidores administrativos e R$ 75 por perícia realizada para médicos —, pagos como forma de incentivo para acelerar a diminuição da fila de espera. Essas ações, além de priorizarem os 'casos mais urgentes' sem a devida análise individualizada, reforçam a lógica da produtividade e da competitividade entre os profissionais, promovem a tecnificação dos atendimentos e intensificam a pressão sobre os servidores, contribuindo para o adoecimento mental desses trabalhadores.</w:t>
      </w:r>
    </w:p>
    <w:p w:rsidR="0011309F" w:rsidRPr="0011309F" w:rsidRDefault="00D0105B" w:rsidP="0011309F">
      <w:pPr>
        <w:spacing w:after="0" w:line="360" w:lineRule="auto"/>
        <w:ind w:firstLine="720"/>
        <w:jc w:val="both"/>
        <w:rPr>
          <w:rFonts w:ascii="Arial" w:eastAsia="Times New Roman" w:hAnsi="Arial" w:cs="Arial"/>
          <w:color w:val="000000"/>
          <w:kern w:val="0"/>
          <w:lang w:eastAsia="pt-BR"/>
          <w14:ligatures w14:val="none"/>
        </w:rPr>
      </w:pPr>
      <w:r w:rsidRPr="00D0105B">
        <w:rPr>
          <w:rFonts w:ascii="Arial" w:eastAsia="Times New Roman" w:hAnsi="Arial" w:cs="Arial"/>
          <w:color w:val="000000"/>
          <w:kern w:val="0"/>
          <w:lang w:eastAsia="pt-BR"/>
          <w14:ligatures w14:val="none"/>
        </w:rPr>
        <w:t xml:space="preserve">É necessário compreender que o processo de tecnologização das políticas sociais no Brasil, representa, ademais do aumento do controle do Estado sobre as camadas mais pobres da população, </w:t>
      </w:r>
      <w:r w:rsidRPr="00D0105B">
        <w:rPr>
          <w:rFonts w:ascii="Arial" w:eastAsia="Times New Roman" w:hAnsi="Arial" w:cs="Arial"/>
          <w:b/>
          <w:bCs/>
          <w:color w:val="000000"/>
          <w:kern w:val="0"/>
          <w:lang w:eastAsia="pt-BR"/>
          <w14:ligatures w14:val="none"/>
        </w:rPr>
        <w:t xml:space="preserve">uma versão contemporânea da precarização das políticas sociais. </w:t>
      </w:r>
      <w:r w:rsidR="0011309F" w:rsidRPr="0011309F">
        <w:rPr>
          <w:rFonts w:ascii="Arial" w:eastAsia="Times New Roman" w:hAnsi="Arial" w:cs="Arial"/>
          <w:color w:val="000000"/>
          <w:kern w:val="0"/>
          <w:lang w:eastAsia="pt-BR"/>
          <w14:ligatures w14:val="none"/>
        </w:rPr>
        <w:t>Discursos oficiais apresentam tais medidas como avanços técnicos, mas a incorporação das Tecnologias da Informação e Comunicação (TICs) nas políticas públicas aprofunda desigualdades e dificulta o acesso a direitos, especialmente para trabalhadores precarizados, desempregados, idosos sem letramento digital e populações em extrema pobreza.</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Segundo Faria (2022), o uso das TICs no campo da Seguridade Social, como o aplicativo Meu INSS e o canal telefônico 135, não promove uma democratização real, mas sim uma “ilusão democrata” que reforça a lógica burguesa de reprodução ampliada do capital. Botão et. al. (2024) endossam essa análise ao demonstrar que o avanço das tecnologias de informação e comunicação está subordinado à lógica de mercantilização das relações sociais e à intensificação da exploração do trabalho. Por trás do discurso da modernização e da aceleração nos serviços, se inaugura um modelo de gestão que opera com base no controle e na violência simbólica e material contra os usuários das políticas sociais. O Estado brasileiro, inserido no processo global de neoliberalização, utiliza as TICs como instrumento para reduzir custos operacionais, terceirizar responsabilidades e transferir aos próprios trabalhadores a tarefa de acessar direitos. Tais medidas evidenciam que, ao invés de realizar concursos públicos para recomposição das equipes do INSS e de outros órgãos da Seguridade Social, o governo brasileiro, mesmo sob a gestão de Lula da Silva em seu </w:t>
      </w:r>
      <w:r w:rsidR="0011309F">
        <w:rPr>
          <w:rFonts w:ascii="Arial" w:eastAsia="Times New Roman" w:hAnsi="Arial" w:cs="Arial"/>
          <w:color w:val="000000"/>
          <w:kern w:val="0"/>
          <w:lang w:eastAsia="pt-BR"/>
          <w14:ligatures w14:val="none"/>
        </w:rPr>
        <w:t>III</w:t>
      </w:r>
      <w:r w:rsidRPr="00D0105B">
        <w:rPr>
          <w:rFonts w:ascii="Arial" w:eastAsia="Times New Roman" w:hAnsi="Arial" w:cs="Arial"/>
          <w:color w:val="000000"/>
          <w:kern w:val="0"/>
          <w:lang w:eastAsia="pt-BR"/>
          <w14:ligatures w14:val="none"/>
        </w:rPr>
        <w:t xml:space="preserve"> mandato, opta por soluções gerencialistas que aprofundam a lógica de ajuste fiscal e de contenção de gastos.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lastRenderedPageBreak/>
        <w:t>Além do controle político-social e da exclusão de setores fragilizados, há uma forte orientação econômica nesse processo, onde companhias privadas de tecnologia lucram com o desenvolvimento de sistemas de gestão dos benefícios sociais. De acordo com Antunes (2018), no capitalismo de plataforma, a extração de dados torna-se nicho de valorização do capital, transformando usuários das políticas sociais em objetos de mercantilização.</w:t>
      </w:r>
    </w:p>
    <w:p w:rsidR="00D0105B" w:rsidRPr="00D0105B" w:rsidRDefault="00D0105B" w:rsidP="00EB695B">
      <w:pPr>
        <w:spacing w:before="120" w:after="120" w:line="240" w:lineRule="auto"/>
        <w:ind w:left="567" w:hanging="567"/>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3.2. Debates nas Comissões da Seguridade Social do Congresso Nacional</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Como já anunciado, o Observatório acompanha os trabalhos da Comissão de Assuntos Sociais do Senado (CAS) e da Comissão de Previdência da Câmara (CPASF), no interior do Congresso Nacional. Essas comissões reúnem diversas forças político-sociais, porém é evidente que o Congresso Nacional se mantém atualmente dominado por bancadas conservadoras e privatistas, historicamente defensoras da redução do papel do Estado e das políticas sociais previdenciárias.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A pesquisa mostrou que, em 2023, a CPASF registrou 118 horas de atividades, número que caiu para 65 horas em 2024. As propostas debatidas nas comissões foram pontuais, baseadas, em sua maioria, em projetos antigos, sem avanços significativos ou transformações estruturais na Previdência Social. Essa estagnação revela o </w:t>
      </w:r>
      <w:r w:rsidRPr="00D0105B">
        <w:rPr>
          <w:rFonts w:ascii="Arial" w:eastAsia="Times New Roman" w:hAnsi="Arial" w:cs="Arial"/>
          <w:b/>
          <w:bCs/>
          <w:color w:val="000000"/>
          <w:kern w:val="0"/>
          <w:lang w:eastAsia="pt-BR"/>
          <w14:ligatures w14:val="none"/>
        </w:rPr>
        <w:t>desinteresse parlamentar</w:t>
      </w:r>
      <w:r w:rsidRPr="00D0105B">
        <w:rPr>
          <w:rFonts w:ascii="Arial" w:eastAsia="Times New Roman" w:hAnsi="Arial" w:cs="Arial"/>
          <w:color w:val="000000"/>
          <w:kern w:val="0"/>
          <w:lang w:eastAsia="pt-BR"/>
          <w14:ligatures w14:val="none"/>
        </w:rPr>
        <w:t xml:space="preserve"> pelo tema. As fontes oficiais do Senado destacam a ênfase em questões fiscais, operacionais do INSS e no equilíbrio dos fundos de pensão, enquanto persiste a </w:t>
      </w:r>
      <w:r w:rsidRPr="00D0105B">
        <w:rPr>
          <w:rFonts w:ascii="Arial" w:eastAsia="Times New Roman" w:hAnsi="Arial" w:cs="Arial"/>
          <w:b/>
          <w:bCs/>
          <w:color w:val="000000"/>
          <w:kern w:val="0"/>
          <w:lang w:eastAsia="pt-BR"/>
          <w14:ligatures w14:val="none"/>
        </w:rPr>
        <w:t>ausência de debates</w:t>
      </w:r>
      <w:r w:rsidRPr="00D0105B">
        <w:rPr>
          <w:rFonts w:ascii="Arial" w:eastAsia="Times New Roman" w:hAnsi="Arial" w:cs="Arial"/>
          <w:color w:val="000000"/>
          <w:kern w:val="0"/>
          <w:lang w:eastAsia="pt-BR"/>
          <w14:ligatures w14:val="none"/>
        </w:rPr>
        <w:t xml:space="preserve"> expressivos sobre mudanças substantivas na Previdência, refletindo o baixo nível de discussão pública sobre o assunto.</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Por sua parte, revela-se uma lacuna na Central Única dos Trabalhadores (CUT). Historicamente reconhecida como uma importante representante da classe trabalhadora, a entidade tem limitado sua atuação nos debates sobre a Previdência Social, restringindo-se a afirmações genéricas em defesa dos direitos sociais e da construção de um sistema previdenciário justo e sustentável. Essa atuação tem sido marcada por posicionamentos tímidos e, por vezes, ambíguos. Nestes últimos dois anos, não se apresentaram assuntos relevantes.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Isto pode </w:t>
      </w:r>
      <w:r w:rsidRPr="00D0105B">
        <w:rPr>
          <w:rFonts w:ascii="Arial" w:eastAsia="Times New Roman" w:hAnsi="Arial" w:cs="Arial"/>
          <w:b/>
          <w:bCs/>
          <w:color w:val="000000"/>
          <w:kern w:val="0"/>
          <w:lang w:eastAsia="pt-BR"/>
          <w14:ligatures w14:val="none"/>
        </w:rPr>
        <w:t xml:space="preserve">parecer </w:t>
      </w:r>
      <w:r w:rsidRPr="00D0105B">
        <w:rPr>
          <w:rFonts w:ascii="Arial" w:eastAsia="Times New Roman" w:hAnsi="Arial" w:cs="Arial"/>
          <w:color w:val="000000"/>
          <w:kern w:val="0"/>
          <w:lang w:eastAsia="pt-BR"/>
          <w14:ligatures w14:val="none"/>
        </w:rPr>
        <w:t xml:space="preserve">que, desde </w:t>
      </w:r>
      <w:r w:rsidR="00A223C8">
        <w:rPr>
          <w:rFonts w:ascii="Arial" w:eastAsia="Times New Roman" w:hAnsi="Arial" w:cs="Arial"/>
          <w:color w:val="000000"/>
          <w:kern w:val="0"/>
          <w:lang w:eastAsia="pt-BR"/>
          <w14:ligatures w14:val="none"/>
        </w:rPr>
        <w:t xml:space="preserve">a </w:t>
      </w:r>
      <w:r w:rsidRPr="00D0105B">
        <w:rPr>
          <w:rFonts w:ascii="Arial" w:eastAsia="Times New Roman" w:hAnsi="Arial" w:cs="Arial"/>
          <w:color w:val="000000"/>
          <w:kern w:val="0"/>
          <w:lang w:eastAsia="pt-BR"/>
          <w14:ligatures w14:val="none"/>
        </w:rPr>
        <w:t xml:space="preserve">última contrarreforma: 1. há uma espécie de </w:t>
      </w:r>
      <w:r w:rsidRPr="00D0105B">
        <w:rPr>
          <w:rFonts w:ascii="Arial" w:eastAsia="Times New Roman" w:hAnsi="Arial" w:cs="Arial"/>
          <w:b/>
          <w:bCs/>
          <w:color w:val="000000"/>
          <w:kern w:val="0"/>
          <w:lang w:eastAsia="pt-BR"/>
          <w14:ligatures w14:val="none"/>
        </w:rPr>
        <w:t xml:space="preserve">esgotamento </w:t>
      </w:r>
      <w:r w:rsidRPr="00D0105B">
        <w:rPr>
          <w:rFonts w:ascii="Arial" w:eastAsia="Times New Roman" w:hAnsi="Arial" w:cs="Arial"/>
          <w:color w:val="000000"/>
          <w:kern w:val="0"/>
          <w:lang w:eastAsia="pt-BR"/>
          <w14:ligatures w14:val="none"/>
        </w:rPr>
        <w:t xml:space="preserve">das forças políticas favoráveis e das </w:t>
      </w:r>
      <w:r w:rsidRPr="00D0105B">
        <w:rPr>
          <w:rFonts w:ascii="Arial" w:eastAsia="Times New Roman" w:hAnsi="Arial" w:cs="Arial"/>
          <w:b/>
          <w:bCs/>
          <w:color w:val="000000"/>
          <w:kern w:val="0"/>
          <w:lang w:eastAsia="pt-BR"/>
          <w14:ligatures w14:val="none"/>
        </w:rPr>
        <w:t>resistências</w:t>
      </w:r>
      <w:r w:rsidRPr="00D0105B">
        <w:rPr>
          <w:rFonts w:ascii="Arial" w:eastAsia="Times New Roman" w:hAnsi="Arial" w:cs="Arial"/>
          <w:color w:val="000000"/>
          <w:kern w:val="0"/>
          <w:lang w:eastAsia="pt-BR"/>
          <w14:ligatures w14:val="none"/>
        </w:rPr>
        <w:t xml:space="preserve">; 2. haveria um </w:t>
      </w:r>
      <w:r w:rsidRPr="00D0105B">
        <w:rPr>
          <w:rFonts w:ascii="Arial" w:eastAsia="Times New Roman" w:hAnsi="Arial" w:cs="Arial"/>
          <w:b/>
          <w:bCs/>
          <w:color w:val="000000"/>
          <w:kern w:val="0"/>
          <w:lang w:eastAsia="pt-BR"/>
          <w14:ligatures w14:val="none"/>
        </w:rPr>
        <w:t>consenso entre as elites políticas</w:t>
      </w:r>
      <w:r w:rsidRPr="00D0105B">
        <w:rPr>
          <w:rFonts w:ascii="Arial" w:eastAsia="Times New Roman" w:hAnsi="Arial" w:cs="Arial"/>
          <w:color w:val="000000"/>
          <w:kern w:val="0"/>
          <w:lang w:eastAsia="pt-BR"/>
          <w14:ligatures w14:val="none"/>
        </w:rPr>
        <w:t xml:space="preserve"> de que a pauta foi "encerrada"; 3. num </w:t>
      </w:r>
      <w:r w:rsidRPr="00D0105B">
        <w:rPr>
          <w:rFonts w:ascii="Arial" w:eastAsia="Times New Roman" w:hAnsi="Arial" w:cs="Arial"/>
          <w:color w:val="000000"/>
          <w:kern w:val="0"/>
          <w:lang w:eastAsia="pt-BR"/>
          <w14:ligatures w14:val="none"/>
        </w:rPr>
        <w:lastRenderedPageBreak/>
        <w:t>congresso majoritariamente conservador, a previdência social não é prioridades para a maioria dos partidos governistas e oposicionistas. No entanto, consideramos que entre os partidos “progressistas”</w:t>
      </w:r>
      <w:r w:rsidR="0005122E">
        <w:rPr>
          <w:rStyle w:val="Refdenotaderodap"/>
          <w:rFonts w:ascii="Arial" w:eastAsia="Times New Roman" w:hAnsi="Arial" w:cs="Arial"/>
          <w:color w:val="000000"/>
          <w:kern w:val="0"/>
          <w:lang w:eastAsia="pt-BR"/>
          <w14:ligatures w14:val="none"/>
        </w:rPr>
        <w:footnoteReference w:id="8"/>
      </w:r>
      <w:r w:rsidRPr="00D0105B">
        <w:rPr>
          <w:rFonts w:ascii="Arial" w:eastAsia="Times New Roman" w:hAnsi="Arial" w:cs="Arial"/>
          <w:color w:val="000000"/>
          <w:kern w:val="0"/>
          <w:lang w:eastAsia="pt-BR"/>
          <w14:ligatures w14:val="none"/>
        </w:rPr>
        <w:t xml:space="preserve">, minoritários no Congresso, há uma combinação de fatores: 1. fragmentação interna; 2. impossibilidade de romper com os limites do ajuste fiscal; 3. atuação reativa a pautas e provocações da ultradireita e setores conservadores; 4. </w:t>
      </w:r>
      <w:r w:rsidRPr="00D0105B">
        <w:rPr>
          <w:rFonts w:ascii="Arial" w:eastAsia="Times New Roman" w:hAnsi="Arial" w:cs="Arial"/>
          <w:b/>
          <w:bCs/>
          <w:color w:val="000000"/>
          <w:kern w:val="0"/>
          <w:lang w:eastAsia="pt-BR"/>
          <w14:ligatures w14:val="none"/>
        </w:rPr>
        <w:t>desarticulação das frentes sindicais e populares em torno da Seguridade Social</w:t>
      </w:r>
      <w:r w:rsidRPr="00D0105B">
        <w:rPr>
          <w:rFonts w:ascii="Arial" w:eastAsia="Times New Roman" w:hAnsi="Arial" w:cs="Arial"/>
          <w:color w:val="000000"/>
          <w:kern w:val="0"/>
          <w:lang w:eastAsia="pt-BR"/>
          <w14:ligatures w14:val="none"/>
        </w:rPr>
        <w:t>, reduzindo a pressão sobre parlamentares progressistas. Desde 2010, e mais intensamente após 2019, o movimento sindical e os fóruns previdenciários perderam força e foco estratégico, contribuindo para a falta de pressão externa sobre o Congresso. A ausência de mobilização popular desestimula parlamentares a defenderem pautas vistas como “impopulares” pelo mercado e pela mídia.</w:t>
      </w:r>
    </w:p>
    <w:p w:rsidR="00D0105B" w:rsidRPr="00D0105B" w:rsidRDefault="00D0105B" w:rsidP="00FB6F75">
      <w:pPr>
        <w:spacing w:before="120" w:after="12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3.3. Previdência Social Pública sob pressão: O lobby da capitalização</w:t>
      </w:r>
    </w:p>
    <w:p w:rsidR="00D0105B" w:rsidRPr="00D0105B" w:rsidRDefault="00FB6F75" w:rsidP="0005122E">
      <w:pPr>
        <w:spacing w:before="240" w:after="0" w:line="360" w:lineRule="auto"/>
        <w:ind w:firstLine="720"/>
        <w:jc w:val="both"/>
        <w:rPr>
          <w:rFonts w:ascii="Times New Roman" w:eastAsia="Times New Roman" w:hAnsi="Times New Roman" w:cs="Times New Roman"/>
          <w:kern w:val="0"/>
          <w:lang w:eastAsia="pt-BR"/>
          <w14:ligatures w14:val="none"/>
        </w:rPr>
      </w:pPr>
      <w:r w:rsidRPr="00FB6F75">
        <w:rPr>
          <w:rFonts w:ascii="Arial" w:eastAsia="Times New Roman" w:hAnsi="Arial" w:cs="Arial"/>
          <w:color w:val="000000"/>
          <w:kern w:val="0"/>
          <w:lang w:eastAsia="pt-BR"/>
          <w14:ligatures w14:val="none"/>
        </w:rPr>
        <w:t>No Observatório, também se acompanham como economistas ligados ao setor financeiro, que atuam como lobistas buscando influenciar políticas públicas. Com apoio da mídia e de instituições da sociedade civil, esses especialistas em finanças públicas</w:t>
      </w:r>
      <w:r w:rsidR="0005122E">
        <w:rPr>
          <w:rStyle w:val="Refdenotaderodap"/>
          <w:rFonts w:ascii="Arial" w:eastAsia="Times New Roman" w:hAnsi="Arial" w:cs="Arial"/>
          <w:color w:val="000000"/>
          <w:kern w:val="0"/>
          <w:lang w:eastAsia="pt-BR"/>
          <w14:ligatures w14:val="none"/>
        </w:rPr>
        <w:footnoteReference w:id="9"/>
      </w:r>
      <w:r w:rsidRPr="00FB6F75">
        <w:rPr>
          <w:rFonts w:ascii="Arial" w:eastAsia="Times New Roman" w:hAnsi="Arial" w:cs="Arial"/>
          <w:color w:val="000000"/>
          <w:kern w:val="0"/>
          <w:lang w:eastAsia="pt-BR"/>
          <w14:ligatures w14:val="none"/>
        </w:rPr>
        <w:t xml:space="preserve"> voltaram a ganhar destaque na imprensa ao defenderem a ideia de um déficit crescente e um futuro insustentável para o sistema, como meio de justificar as sucessivas reformas. Tal como afirmam os analistas das “contrarreformas”</w:t>
      </w:r>
      <w:r w:rsidR="0005122E">
        <w:rPr>
          <w:rStyle w:val="Refdenotaderodap"/>
          <w:rFonts w:ascii="Arial" w:eastAsia="Times New Roman" w:hAnsi="Arial" w:cs="Arial"/>
          <w:color w:val="000000"/>
          <w:kern w:val="0"/>
          <w:lang w:eastAsia="pt-BR"/>
          <w14:ligatures w14:val="none"/>
        </w:rPr>
        <w:footnoteReference w:id="10"/>
      </w:r>
      <w:r w:rsidRPr="00FB6F75">
        <w:rPr>
          <w:rFonts w:ascii="Arial" w:eastAsia="Times New Roman" w:hAnsi="Arial" w:cs="Arial"/>
          <w:color w:val="000000"/>
          <w:kern w:val="0"/>
          <w:lang w:eastAsia="pt-BR"/>
          <w14:ligatures w14:val="none"/>
        </w:rPr>
        <w:t xml:space="preserve">, esses discursos </w:t>
      </w:r>
      <w:r w:rsidR="008F431B">
        <w:rPr>
          <w:rFonts w:ascii="Arial" w:eastAsia="Times New Roman" w:hAnsi="Arial" w:cs="Arial"/>
          <w:color w:val="000000"/>
          <w:kern w:val="0"/>
          <w:lang w:eastAsia="pt-BR"/>
          <w14:ligatures w14:val="none"/>
        </w:rPr>
        <w:t xml:space="preserve">continuam </w:t>
      </w:r>
      <w:r w:rsidRPr="00FB6F75">
        <w:rPr>
          <w:rFonts w:ascii="Arial" w:eastAsia="Times New Roman" w:hAnsi="Arial" w:cs="Arial"/>
          <w:color w:val="000000"/>
          <w:kern w:val="0"/>
          <w:lang w:eastAsia="pt-BR"/>
          <w14:ligatures w14:val="none"/>
        </w:rPr>
        <w:t>hegemônicos ao isolar artificialmente a Previdência da Seguridade Social, usando cálculos que distorcem suas receitas reais.</w:t>
      </w:r>
      <w:r w:rsidR="0005122E">
        <w:rPr>
          <w:rFonts w:ascii="Arial" w:eastAsia="Times New Roman" w:hAnsi="Arial" w:cs="Arial"/>
          <w:color w:val="000000"/>
          <w:kern w:val="0"/>
          <w:lang w:eastAsia="pt-BR"/>
          <w14:ligatures w14:val="none"/>
        </w:rPr>
        <w:t xml:space="preserve"> </w:t>
      </w:r>
      <w:r w:rsidR="00D0105B" w:rsidRPr="00D0105B">
        <w:rPr>
          <w:rFonts w:ascii="Arial" w:eastAsia="Times New Roman" w:hAnsi="Arial" w:cs="Arial"/>
          <w:color w:val="000000"/>
          <w:kern w:val="0"/>
          <w:lang w:eastAsia="pt-BR"/>
          <w14:ligatures w14:val="none"/>
        </w:rPr>
        <w:t>O déficit que expressa o cálculo que sustentam os economistas neoliberais, no entanto, é resultado de considerar apenas a receita de contribuição dos empregadores e trabalhadores ao INSS</w:t>
      </w:r>
      <w:r>
        <w:rPr>
          <w:rFonts w:ascii="Arial" w:eastAsia="Times New Roman" w:hAnsi="Arial" w:cs="Arial"/>
          <w:color w:val="000000"/>
          <w:kern w:val="0"/>
          <w:lang w:eastAsia="pt-BR"/>
          <w14:ligatures w14:val="none"/>
        </w:rPr>
        <w:t xml:space="preserve">. </w:t>
      </w:r>
      <w:r w:rsidR="00D0105B" w:rsidRPr="00D0105B">
        <w:rPr>
          <w:rFonts w:ascii="Arial" w:eastAsia="Times New Roman" w:hAnsi="Arial" w:cs="Arial"/>
          <w:color w:val="000000"/>
          <w:kern w:val="0"/>
          <w:lang w:eastAsia="pt-BR"/>
          <w14:ligatures w14:val="none"/>
        </w:rPr>
        <w:t>Gentil afirma que “este cálculo não leva em consideração todas as receitas que devem ser alocadas para a Previdência Social (...)” (2006, p. 31)</w:t>
      </w:r>
      <w:r w:rsidR="008F431B">
        <w:rPr>
          <w:rFonts w:ascii="Arial" w:eastAsia="Times New Roman" w:hAnsi="Arial" w:cs="Arial"/>
          <w:color w:val="000000"/>
          <w:kern w:val="0"/>
          <w:lang w:eastAsia="pt-BR"/>
          <w14:ligatures w14:val="none"/>
        </w:rPr>
        <w:t xml:space="preserve">, tais como </w:t>
      </w:r>
      <w:r w:rsidR="008F431B" w:rsidRPr="00D0105B">
        <w:rPr>
          <w:rFonts w:ascii="Arial" w:eastAsia="Times New Roman" w:hAnsi="Arial" w:cs="Arial"/>
          <w:color w:val="000000"/>
          <w:kern w:val="0"/>
          <w:lang w:eastAsia="pt-BR"/>
          <w14:ligatures w14:val="none"/>
        </w:rPr>
        <w:t xml:space="preserve">Contribuição para o Financiamento da Seguridade Social (COFINS), a Contribuição Social sobre o Lucro Líquido (CSLL), o PIS/Pasep, a CPMF (hoje extinta), e a receita </w:t>
      </w:r>
      <w:r w:rsidR="008F431B" w:rsidRPr="00D0105B">
        <w:rPr>
          <w:rFonts w:ascii="Arial" w:eastAsia="Times New Roman" w:hAnsi="Arial" w:cs="Arial"/>
          <w:color w:val="000000"/>
          <w:kern w:val="0"/>
          <w:lang w:eastAsia="pt-BR"/>
          <w14:ligatures w14:val="none"/>
        </w:rPr>
        <w:lastRenderedPageBreak/>
        <w:t>de concursos de prognósticos</w:t>
      </w:r>
      <w:r w:rsidR="008F431B">
        <w:rPr>
          <w:rFonts w:ascii="Arial" w:eastAsia="Times New Roman" w:hAnsi="Arial" w:cs="Arial"/>
          <w:color w:val="000000"/>
          <w:kern w:val="0"/>
          <w:lang w:eastAsia="pt-BR"/>
          <w14:ligatures w14:val="none"/>
        </w:rPr>
        <w:t xml:space="preserve"> como previsto no art 195 da Constituição Federal. </w:t>
      </w:r>
      <w:r w:rsidR="00D0105B" w:rsidRPr="00D0105B">
        <w:rPr>
          <w:rFonts w:ascii="Arial" w:eastAsia="Times New Roman" w:hAnsi="Arial" w:cs="Arial"/>
          <w:color w:val="000000"/>
          <w:kern w:val="0"/>
          <w:lang w:eastAsia="pt-BR"/>
          <w14:ligatures w14:val="none"/>
        </w:rPr>
        <w:t>O texto ainda prevê a contribuição por parte dos entes federativos.</w:t>
      </w:r>
    </w:p>
    <w:p w:rsidR="00D0105B" w:rsidRPr="00D0105B" w:rsidRDefault="0005122E" w:rsidP="00243ECF">
      <w:pPr>
        <w:spacing w:after="0" w:line="360" w:lineRule="auto"/>
        <w:ind w:firstLine="720"/>
        <w:jc w:val="both"/>
        <w:rPr>
          <w:rFonts w:ascii="Times New Roman" w:eastAsia="Times New Roman" w:hAnsi="Times New Roman" w:cs="Times New Roman"/>
          <w:kern w:val="0"/>
          <w:lang w:eastAsia="pt-BR"/>
          <w14:ligatures w14:val="none"/>
        </w:rPr>
      </w:pPr>
      <w:r w:rsidRPr="0005122E">
        <w:rPr>
          <w:rFonts w:ascii="Arial" w:eastAsia="Times New Roman" w:hAnsi="Arial" w:cs="Arial"/>
          <w:color w:val="000000"/>
          <w:kern w:val="0"/>
          <w:lang w:eastAsia="pt-BR"/>
          <w14:ligatures w14:val="none"/>
        </w:rPr>
        <w:t xml:space="preserve">O resultado fiscal da </w:t>
      </w:r>
      <w:r>
        <w:rPr>
          <w:rFonts w:ascii="Arial" w:eastAsia="Times New Roman" w:hAnsi="Arial" w:cs="Arial"/>
          <w:color w:val="000000"/>
          <w:kern w:val="0"/>
          <w:lang w:eastAsia="pt-BR"/>
          <w14:ligatures w14:val="none"/>
        </w:rPr>
        <w:t xml:space="preserve">Previdência </w:t>
      </w:r>
      <w:r w:rsidRPr="0005122E">
        <w:rPr>
          <w:rFonts w:ascii="Arial" w:eastAsia="Times New Roman" w:hAnsi="Arial" w:cs="Arial"/>
          <w:color w:val="000000"/>
          <w:kern w:val="0"/>
          <w:lang w:eastAsia="pt-BR"/>
          <w14:ligatures w14:val="none"/>
        </w:rPr>
        <w:t xml:space="preserve">Social </w:t>
      </w:r>
      <w:r>
        <w:rPr>
          <w:rFonts w:ascii="Arial" w:eastAsia="Times New Roman" w:hAnsi="Arial" w:cs="Arial"/>
          <w:color w:val="000000"/>
          <w:kern w:val="0"/>
          <w:lang w:eastAsia="pt-BR"/>
          <w14:ligatures w14:val="none"/>
        </w:rPr>
        <w:t xml:space="preserve">isolada </w:t>
      </w:r>
      <w:r w:rsidRPr="0005122E">
        <w:rPr>
          <w:rFonts w:ascii="Arial" w:eastAsia="Times New Roman" w:hAnsi="Arial" w:cs="Arial"/>
          <w:color w:val="000000"/>
          <w:kern w:val="0"/>
          <w:lang w:eastAsia="pt-BR"/>
          <w14:ligatures w14:val="none"/>
        </w:rPr>
        <w:t>está há anos desfavorável, refletindo no desfinanciamento e nos resultados da política</w:t>
      </w:r>
      <w:r>
        <w:rPr>
          <w:rFonts w:ascii="Arial" w:eastAsia="Times New Roman" w:hAnsi="Arial" w:cs="Arial"/>
          <w:color w:val="000000"/>
          <w:kern w:val="0"/>
          <w:lang w:eastAsia="pt-BR"/>
          <w14:ligatures w14:val="none"/>
        </w:rPr>
        <w:t xml:space="preserve"> específica. </w:t>
      </w:r>
      <w:r w:rsidR="00D0105B" w:rsidRPr="00D0105B">
        <w:rPr>
          <w:rFonts w:ascii="Arial" w:eastAsia="Times New Roman" w:hAnsi="Arial" w:cs="Arial"/>
          <w:color w:val="000000"/>
          <w:kern w:val="0"/>
          <w:lang w:eastAsia="pt-BR"/>
          <w14:ligatures w14:val="none"/>
        </w:rPr>
        <w:t>Diversos analistas</w:t>
      </w:r>
      <w:r>
        <w:rPr>
          <w:rStyle w:val="Refdenotaderodap"/>
          <w:rFonts w:ascii="Arial" w:eastAsia="Times New Roman" w:hAnsi="Arial" w:cs="Arial"/>
          <w:color w:val="000000"/>
          <w:kern w:val="0"/>
          <w:lang w:eastAsia="pt-BR"/>
          <w14:ligatures w14:val="none"/>
        </w:rPr>
        <w:footnoteReference w:id="11"/>
      </w:r>
      <w:r w:rsidR="00D0105B" w:rsidRPr="00D0105B">
        <w:rPr>
          <w:rFonts w:ascii="Arial" w:eastAsia="Times New Roman" w:hAnsi="Arial" w:cs="Arial"/>
          <w:color w:val="000000"/>
          <w:kern w:val="0"/>
          <w:lang w:eastAsia="pt-BR"/>
          <w14:ligatures w14:val="none"/>
        </w:rPr>
        <w:t xml:space="preserve"> apontam fatores para o déficit da Seguridade Social</w:t>
      </w:r>
      <w:r w:rsidR="00D24A37">
        <w:rPr>
          <w:rFonts w:ascii="Arial" w:eastAsia="Times New Roman" w:hAnsi="Arial" w:cs="Arial"/>
          <w:color w:val="000000"/>
          <w:kern w:val="0"/>
          <w:lang w:eastAsia="pt-BR"/>
          <w14:ligatures w14:val="none"/>
        </w:rPr>
        <w:t xml:space="preserve"> e da Previd</w:t>
      </w:r>
      <w:r w:rsidR="008F431B">
        <w:rPr>
          <w:rFonts w:ascii="Arial" w:eastAsia="Times New Roman" w:hAnsi="Arial" w:cs="Arial"/>
          <w:color w:val="000000"/>
          <w:kern w:val="0"/>
          <w:lang w:eastAsia="pt-BR"/>
          <w14:ligatures w14:val="none"/>
        </w:rPr>
        <w:t>ê</w:t>
      </w:r>
      <w:r w:rsidR="00D24A37">
        <w:rPr>
          <w:rFonts w:ascii="Arial" w:eastAsia="Times New Roman" w:hAnsi="Arial" w:cs="Arial"/>
          <w:color w:val="000000"/>
          <w:kern w:val="0"/>
          <w:lang w:eastAsia="pt-BR"/>
          <w14:ligatures w14:val="none"/>
        </w:rPr>
        <w:t>ncia</w:t>
      </w:r>
      <w:r w:rsidR="00D0105B" w:rsidRPr="00D0105B">
        <w:rPr>
          <w:rFonts w:ascii="Arial" w:eastAsia="Times New Roman" w:hAnsi="Arial" w:cs="Arial"/>
          <w:color w:val="000000"/>
          <w:kern w:val="0"/>
          <w:lang w:eastAsia="pt-BR"/>
          <w14:ligatures w14:val="none"/>
        </w:rPr>
        <w:t>: a. a DRU, que redireciona 30% das receitas para a dívida pública; b. renúncias fiscais que reduzem a arrecadação; c. dívidas não pagas de grandes empresas com o INSS; d. a adoção de um novo modelo de desenvolvimento econômico. É notório que a manipulação de números para sustentar a ideia de crise da Previdência enfraquece o sistema público, fortalece a Previdência Complementar</w:t>
      </w:r>
      <w:r w:rsidR="00D24A37">
        <w:rPr>
          <w:rFonts w:ascii="Arial" w:eastAsia="Times New Roman" w:hAnsi="Arial" w:cs="Arial"/>
          <w:color w:val="000000"/>
          <w:kern w:val="0"/>
          <w:lang w:eastAsia="pt-BR"/>
          <w14:ligatures w14:val="none"/>
        </w:rPr>
        <w:t>.</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Esses economistas aliados a setores do poder executivo que atendem aos interesses dos grupos financeiros dominantes, portanto, salientam nas mídias a necessidade de uma </w:t>
      </w:r>
      <w:r w:rsidRPr="00D0105B">
        <w:rPr>
          <w:rFonts w:ascii="Arial" w:eastAsia="Times New Roman" w:hAnsi="Arial" w:cs="Arial"/>
          <w:b/>
          <w:bCs/>
          <w:color w:val="000000"/>
          <w:kern w:val="0"/>
          <w:lang w:eastAsia="pt-BR"/>
          <w14:ligatures w14:val="none"/>
        </w:rPr>
        <w:t>nova reforma</w:t>
      </w:r>
      <w:r w:rsidRPr="00D0105B">
        <w:rPr>
          <w:rFonts w:ascii="Arial" w:eastAsia="Times New Roman" w:hAnsi="Arial" w:cs="Arial"/>
          <w:color w:val="000000"/>
          <w:kern w:val="0"/>
          <w:lang w:eastAsia="pt-BR"/>
          <w14:ligatures w14:val="none"/>
        </w:rPr>
        <w:t xml:space="preserve"> que prevê a continuidade da “contrarreforma” de 2019 promulgada no governo Bolsonaro, tendo como compromisso potencializar o regime de capitalização e a desvinculação -anticonstitucional- dos benefícios do salário mínimo. </w:t>
      </w:r>
      <w:r w:rsidR="008F431B" w:rsidRPr="008F431B">
        <w:rPr>
          <w:rFonts w:ascii="Arial" w:eastAsia="Times New Roman" w:hAnsi="Arial" w:cs="Arial"/>
          <w:color w:val="000000"/>
          <w:kern w:val="0"/>
          <w:lang w:eastAsia="pt-BR"/>
          <w14:ligatures w14:val="none"/>
        </w:rPr>
        <w:t>Apontam como temas centrais para uma “futura reforma” o ajuste da idade mínima e do tempo de contribuição, a equiparação da idade entre homens e mulheres, mudanças nas regras para trabalhadores rurais e a distinção entre benefícios assistenciais e previdenciários.</w:t>
      </w:r>
      <w:r w:rsidR="008F431B">
        <w:rPr>
          <w:rFonts w:ascii="Arial" w:eastAsia="Times New Roman" w:hAnsi="Arial" w:cs="Arial"/>
          <w:color w:val="000000"/>
          <w:kern w:val="0"/>
          <w:lang w:eastAsia="pt-BR"/>
          <w14:ligatures w14:val="none"/>
        </w:rPr>
        <w:t xml:space="preserve"> </w:t>
      </w:r>
      <w:r w:rsidRPr="00D0105B">
        <w:rPr>
          <w:rFonts w:ascii="Arial" w:eastAsia="Times New Roman" w:hAnsi="Arial" w:cs="Arial"/>
          <w:color w:val="000000"/>
          <w:kern w:val="0"/>
          <w:lang w:eastAsia="pt-BR"/>
          <w14:ligatures w14:val="none"/>
        </w:rPr>
        <w:t xml:space="preserve">Ademais, nas análises destes intelectuais orgânicos dos grupos </w:t>
      </w:r>
      <w:r w:rsidR="00D24A37" w:rsidRPr="00D0105B">
        <w:rPr>
          <w:rFonts w:ascii="Arial" w:eastAsia="Times New Roman" w:hAnsi="Arial" w:cs="Arial"/>
          <w:color w:val="000000"/>
          <w:kern w:val="0"/>
          <w:lang w:eastAsia="pt-BR"/>
          <w14:ligatures w14:val="none"/>
        </w:rPr>
        <w:t>dominantes, a</w:t>
      </w:r>
      <w:r w:rsidRPr="00D0105B">
        <w:rPr>
          <w:rFonts w:ascii="Arial" w:eastAsia="Times New Roman" w:hAnsi="Arial" w:cs="Arial"/>
          <w:color w:val="000000"/>
          <w:kern w:val="0"/>
          <w:lang w:eastAsia="pt-BR"/>
          <w14:ligatures w14:val="none"/>
        </w:rPr>
        <w:t xml:space="preserve"> </w:t>
      </w:r>
      <w:r w:rsidRPr="00D0105B">
        <w:rPr>
          <w:rFonts w:ascii="Arial" w:eastAsia="Times New Roman" w:hAnsi="Arial" w:cs="Arial"/>
          <w:b/>
          <w:bCs/>
          <w:color w:val="000000"/>
          <w:kern w:val="0"/>
          <w:lang w:eastAsia="pt-BR"/>
          <w14:ligatures w14:val="none"/>
        </w:rPr>
        <w:t>questão demográfica</w:t>
      </w:r>
      <w:r w:rsidRPr="00D0105B">
        <w:rPr>
          <w:rFonts w:ascii="Arial" w:eastAsia="Times New Roman" w:hAnsi="Arial" w:cs="Arial"/>
          <w:color w:val="000000"/>
          <w:kern w:val="0"/>
          <w:lang w:eastAsia="pt-BR"/>
          <w14:ligatures w14:val="none"/>
        </w:rPr>
        <w:t xml:space="preserve"> </w:t>
      </w:r>
      <w:r w:rsidR="00D24A37">
        <w:rPr>
          <w:rFonts w:ascii="Arial" w:eastAsia="Times New Roman" w:hAnsi="Arial" w:cs="Arial"/>
          <w:color w:val="000000"/>
          <w:kern w:val="0"/>
          <w:lang w:eastAsia="pt-BR"/>
          <w14:ligatures w14:val="none"/>
        </w:rPr>
        <w:t>é central quando observa os</w:t>
      </w:r>
      <w:r w:rsidRPr="00D0105B">
        <w:rPr>
          <w:rFonts w:ascii="Arial" w:eastAsia="Times New Roman" w:hAnsi="Arial" w:cs="Arial"/>
          <w:color w:val="000000"/>
          <w:kern w:val="0"/>
          <w:lang w:eastAsia="pt-BR"/>
          <w14:ligatures w14:val="none"/>
        </w:rPr>
        <w:t xml:space="preserve"> crescentes gastos com aposentadorias e benefícios, enquanto as contribuições tendem à redução, reforçando a ideia de que a Previdência Social representa um peso para o Orçamento Público. Assim, ao responsabilizar o próprio sistema previdenciário por seus desequilíbrios financeiros, esses intelectuais desconsideram, como apontam Galizia et. al. (2023), que fatores como o aumento do trabalho informal, a desaceleração no crescimento do emprego formal e o número elevado de desempregados são, na verdade, consequências de um modelo de desenvolvimento pautado em ajustes neoliberais, e não causas internas ao sistema. Além disso, o envelhecimento populacional e a baixa taxa de natalidade devem ser compreendidos como fenômenos estruturais da </w:t>
      </w:r>
      <w:r w:rsidRPr="00D0105B">
        <w:rPr>
          <w:rFonts w:ascii="Arial" w:eastAsia="Times New Roman" w:hAnsi="Arial" w:cs="Arial"/>
          <w:color w:val="000000"/>
          <w:kern w:val="0"/>
          <w:lang w:eastAsia="pt-BR"/>
          <w14:ligatures w14:val="none"/>
        </w:rPr>
        <w:lastRenderedPageBreak/>
        <w:t>sociedade, com os quais o sistema previdenciário precisa lidar, e não como justificativas isoladas para sua fragilização.</w:t>
      </w:r>
    </w:p>
    <w:p w:rsidR="00D0105B" w:rsidRPr="00D0105B" w:rsidRDefault="000F491D" w:rsidP="00864E0C">
      <w:pPr>
        <w:spacing w:before="240" w:after="120" w:line="240" w:lineRule="auto"/>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4. O CRESCIMENTO DOS FUNDOS DE PENSÃO</w:t>
      </w:r>
      <w:r w:rsidR="00D0105B" w:rsidRPr="00D0105B">
        <w:rPr>
          <w:rFonts w:ascii="Arial" w:eastAsia="Times New Roman" w:hAnsi="Arial" w:cs="Arial"/>
          <w:b/>
          <w:bCs/>
          <w:color w:val="000000"/>
          <w:kern w:val="0"/>
          <w:lang w:eastAsia="pt-BR"/>
          <w14:ligatures w14:val="none"/>
        </w:rPr>
        <w:t> </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Para finalizar, investiga-se o movimento dos fundos de pensão fechados que compõem o Regime de Previdência Complementar. </w:t>
      </w:r>
      <w:r w:rsidR="00D24A37">
        <w:rPr>
          <w:rFonts w:ascii="Arial" w:eastAsia="Times New Roman" w:hAnsi="Arial" w:cs="Arial"/>
          <w:color w:val="000000"/>
          <w:kern w:val="0"/>
          <w:lang w:eastAsia="pt-BR"/>
          <w14:ligatures w14:val="none"/>
        </w:rPr>
        <w:t xml:space="preserve">Esses </w:t>
      </w:r>
      <w:r w:rsidRPr="00D0105B">
        <w:rPr>
          <w:rFonts w:ascii="Arial" w:eastAsia="Times New Roman" w:hAnsi="Arial" w:cs="Arial"/>
          <w:color w:val="000000"/>
          <w:kern w:val="0"/>
          <w:lang w:eastAsia="pt-BR"/>
          <w14:ligatures w14:val="none"/>
        </w:rPr>
        <w:t>são definidos como entidades sem fins lucrativos e formados por contribuições mensais feitas pelas empresas e pelos empregados. Se fundamentam no regime de capitalização, onde essas contribuições são investidas em títulos, ações e/ou no setor imobiliário, que são destinadas a um fundo de reservas na qual serão retornados por meio da renda de benefícios no futuro, quando os trabalhadores, por motivo de velhice ou doença, não puderem mais exercer suas atividades laborais.</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Atualizando os dados de cotizantes e investimentos das três maiores Entidades Fechadas de Previdência Complementar (Previ, Petros e Funcef), constata-se sua crescente evolução entre os anos de 2004 e 2024</w:t>
      </w:r>
      <w:r w:rsidR="000F491D">
        <w:rPr>
          <w:rFonts w:ascii="Arial" w:eastAsia="Times New Roman" w:hAnsi="Arial" w:cs="Arial"/>
          <w:color w:val="000000"/>
          <w:kern w:val="0"/>
          <w:lang w:eastAsia="pt-BR"/>
          <w14:ligatures w14:val="none"/>
        </w:rPr>
        <w:t>.</w:t>
      </w:r>
      <w:r w:rsidRPr="00D0105B">
        <w:rPr>
          <w:rFonts w:ascii="Arial" w:eastAsia="Times New Roman" w:hAnsi="Arial" w:cs="Arial"/>
          <w:color w:val="000000"/>
          <w:kern w:val="0"/>
          <w:lang w:eastAsia="pt-BR"/>
          <w14:ligatures w14:val="none"/>
        </w:rPr>
        <w:t xml:space="preserve"> Percebe-se que em 2004 os números em ativos marcaram R$113 milhões, e vinte anos depois, em 2024, o aumento foi significativo, atingindo o total de R$495 milhões.</w:t>
      </w:r>
    </w:p>
    <w:p w:rsidR="00D0105B" w:rsidRPr="00D0105B" w:rsidRDefault="00D0105B" w:rsidP="00D24A37">
      <w:pPr>
        <w:spacing w:before="120" w:after="0" w:line="240" w:lineRule="auto"/>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CONCLUSÃO</w:t>
      </w:r>
    </w:p>
    <w:p w:rsidR="00D0105B" w:rsidRPr="00D0105B" w:rsidRDefault="00D0105B" w:rsidP="00D24A37">
      <w:pPr>
        <w:spacing w:before="120"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Por meio do Observatório da Previdência Social, identificamos a continuidade nos objetivos e lógica das “contrarreformas” do sistema previdenciário durante o III governo da coalizão Lula da Silva. A análise de debates e propostas revelou: 1. novas formas de precarização da previdência pública; 2. desinteresse parlamentar por mudanças que ampliem o sistema para os trabalhadores; 3. ausência de debates entre setores ligados aos trabalhadores, resultado da despolitização e do enfraquecimento deliberado das organizações trabalhistas desde os anos 1990; 4. pressões constantes de economistas neoliberais desde argumentos financeiros e demográficos infundados e frágeis; e 5. expansão contínua das instituições financeiras, com aumento expressivo de recursos e cotistas nos fundos de pensão.</w:t>
      </w:r>
    </w:p>
    <w:p w:rsidR="00D0105B" w:rsidRPr="00D0105B" w:rsidRDefault="00D0105B" w:rsidP="00243ECF">
      <w:pPr>
        <w:spacing w:after="0" w:line="360" w:lineRule="auto"/>
        <w:ind w:firstLine="720"/>
        <w:jc w:val="both"/>
        <w:rPr>
          <w:rFonts w:ascii="Times New Roman" w:eastAsia="Times New Roman" w:hAnsi="Times New Roman" w:cs="Times New Roman"/>
          <w:kern w:val="0"/>
          <w:lang w:eastAsia="pt-BR"/>
          <w14:ligatures w14:val="none"/>
        </w:rPr>
      </w:pPr>
      <w:r w:rsidRPr="00D0105B">
        <w:rPr>
          <w:rFonts w:ascii="Arial" w:eastAsia="Times New Roman" w:hAnsi="Arial" w:cs="Arial"/>
          <w:color w:val="000000"/>
          <w:kern w:val="0"/>
          <w:lang w:eastAsia="pt-BR"/>
          <w14:ligatures w14:val="none"/>
        </w:rPr>
        <w:t xml:space="preserve">Esse cenário se explica porque, assim como em outras áreas da política social, a Previdência Social foi progressivamente inserida, desde os ajustes estruturais neoliberais, na lógica financeira do capitalismo contemporâneo. Assim, passou a responder a uma racionalidade orientada pela mercantilização, </w:t>
      </w:r>
      <w:r w:rsidRPr="00D0105B">
        <w:rPr>
          <w:rFonts w:ascii="Arial" w:eastAsia="Times New Roman" w:hAnsi="Arial" w:cs="Arial"/>
          <w:color w:val="000000"/>
          <w:kern w:val="0"/>
          <w:lang w:eastAsia="pt-BR"/>
          <w14:ligatures w14:val="none"/>
        </w:rPr>
        <w:lastRenderedPageBreak/>
        <w:t>marcada pela contínua precarização do sistema público, pela crescente dificuldade de acesso para os trabalhadores e pela simultânea ampliação dos fundos privados. </w:t>
      </w:r>
    </w:p>
    <w:p w:rsidR="00D0105B" w:rsidRPr="00D0105B" w:rsidRDefault="00D0105B" w:rsidP="00867B7C">
      <w:pPr>
        <w:spacing w:before="120" w:after="0" w:line="240" w:lineRule="auto"/>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BIBLIOGRAFIA</w:t>
      </w:r>
    </w:p>
    <w:p w:rsidR="00D0105B" w:rsidRPr="00D0105B" w:rsidRDefault="00D0105B" w:rsidP="008F431B">
      <w:pPr>
        <w:spacing w:before="200"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 xml:space="preserve">ABRAPP </w:t>
      </w:r>
      <w:r w:rsidRPr="00D0105B">
        <w:rPr>
          <w:rFonts w:ascii="Arial" w:eastAsia="Times New Roman" w:hAnsi="Arial" w:cs="Arial"/>
          <w:color w:val="000000"/>
          <w:kern w:val="0"/>
          <w:lang w:eastAsia="pt-BR"/>
          <w14:ligatures w14:val="none"/>
        </w:rPr>
        <w:t>- Associação Brasileira das Entidades Fechadas de Previdência Complementar. Consolidado estatístico. São Paulo. </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Antunes</w:t>
      </w:r>
      <w:r w:rsidRPr="00D0105B">
        <w:rPr>
          <w:rFonts w:ascii="Arial" w:eastAsia="Times New Roman" w:hAnsi="Arial" w:cs="Arial"/>
          <w:color w:val="000000"/>
          <w:kern w:val="0"/>
          <w:lang w:eastAsia="pt-BR"/>
          <w14:ligatures w14:val="none"/>
        </w:rPr>
        <w:t xml:space="preserve">, Ricardo. </w:t>
      </w:r>
      <w:r w:rsidRPr="00D0105B">
        <w:rPr>
          <w:rFonts w:ascii="Arial" w:eastAsia="Times New Roman" w:hAnsi="Arial" w:cs="Arial"/>
          <w:i/>
          <w:iCs/>
          <w:color w:val="000000"/>
          <w:kern w:val="0"/>
          <w:lang w:eastAsia="pt-BR"/>
          <w14:ligatures w14:val="none"/>
        </w:rPr>
        <w:t>O privilégio da servidão: o novo proletariado de serviços na era digital</w:t>
      </w:r>
      <w:r w:rsidRPr="00D0105B">
        <w:rPr>
          <w:rFonts w:ascii="Arial" w:eastAsia="Times New Roman" w:hAnsi="Arial" w:cs="Arial"/>
          <w:color w:val="000000"/>
          <w:kern w:val="0"/>
          <w:lang w:eastAsia="pt-BR"/>
          <w14:ligatures w14:val="none"/>
        </w:rPr>
        <w:t>. 16. ed. rev. e ampl. São Paulo: Boitempo, 2022.</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Botão</w:t>
      </w:r>
      <w:r w:rsidRPr="00D0105B">
        <w:rPr>
          <w:rFonts w:ascii="Arial" w:eastAsia="Times New Roman" w:hAnsi="Arial" w:cs="Arial"/>
          <w:color w:val="000000"/>
          <w:kern w:val="0"/>
          <w:lang w:eastAsia="pt-BR"/>
          <w14:ligatures w14:val="none"/>
        </w:rPr>
        <w:t xml:space="preserve">, Márcia; </w:t>
      </w:r>
      <w:r w:rsidRPr="00D0105B">
        <w:rPr>
          <w:rFonts w:ascii="Arial" w:eastAsia="Times New Roman" w:hAnsi="Arial" w:cs="Arial"/>
          <w:b/>
          <w:bCs/>
          <w:color w:val="000000"/>
          <w:kern w:val="0"/>
          <w:lang w:eastAsia="pt-BR"/>
          <w14:ligatures w14:val="none"/>
        </w:rPr>
        <w:t>Pastorini</w:t>
      </w:r>
      <w:r w:rsidRPr="00D0105B">
        <w:rPr>
          <w:rFonts w:ascii="Arial" w:eastAsia="Times New Roman" w:hAnsi="Arial" w:cs="Arial"/>
          <w:color w:val="000000"/>
          <w:kern w:val="0"/>
          <w:lang w:eastAsia="pt-BR"/>
          <w14:ligatures w14:val="none"/>
        </w:rPr>
        <w:t xml:space="preserve">, Alejandra; </w:t>
      </w:r>
      <w:r w:rsidRPr="00D0105B">
        <w:rPr>
          <w:rFonts w:ascii="Arial" w:eastAsia="Times New Roman" w:hAnsi="Arial" w:cs="Arial"/>
          <w:b/>
          <w:bCs/>
          <w:color w:val="000000"/>
          <w:kern w:val="0"/>
          <w:lang w:eastAsia="pt-BR"/>
          <w14:ligatures w14:val="none"/>
        </w:rPr>
        <w:t>Veloso</w:t>
      </w:r>
      <w:r w:rsidRPr="00D0105B">
        <w:rPr>
          <w:rFonts w:ascii="Arial" w:eastAsia="Times New Roman" w:hAnsi="Arial" w:cs="Arial"/>
          <w:color w:val="000000"/>
          <w:kern w:val="0"/>
          <w:lang w:eastAsia="pt-BR"/>
          <w14:ligatures w14:val="none"/>
        </w:rPr>
        <w:t xml:space="preserve">, Renato. Trabalho, avanços tecnológicos e Serviço Social in </w:t>
      </w:r>
      <w:r w:rsidRPr="00D0105B">
        <w:rPr>
          <w:rFonts w:ascii="Arial" w:eastAsia="Times New Roman" w:hAnsi="Arial" w:cs="Arial"/>
          <w:i/>
          <w:iCs/>
          <w:color w:val="000000"/>
          <w:kern w:val="0"/>
          <w:lang w:eastAsia="pt-BR"/>
          <w14:ligatures w14:val="none"/>
        </w:rPr>
        <w:t>O Social em Questão</w:t>
      </w:r>
      <w:r w:rsidRPr="00D0105B">
        <w:rPr>
          <w:rFonts w:ascii="Arial" w:eastAsia="Times New Roman" w:hAnsi="Arial" w:cs="Arial"/>
          <w:color w:val="000000"/>
          <w:kern w:val="0"/>
          <w:lang w:eastAsia="pt-BR"/>
          <w14:ligatures w14:val="none"/>
        </w:rPr>
        <w:t>, Rio de Janeiro, ano XXVII, n. 58, p. 1–12, jan./abr. 2024. Disponível em: https://revistas.puc-rio.br/index.php/osocialemquestao/article/view/65334.</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Brettas</w:t>
      </w:r>
      <w:r w:rsidRPr="00D0105B">
        <w:rPr>
          <w:rFonts w:ascii="Arial" w:eastAsia="Times New Roman" w:hAnsi="Arial" w:cs="Arial"/>
          <w:color w:val="000000"/>
          <w:kern w:val="0"/>
          <w:lang w:eastAsia="pt-BR"/>
          <w14:ligatures w14:val="none"/>
        </w:rPr>
        <w:t xml:space="preserve">, Tatiana. Os interesses  por trás da falácia do déficit da Previdência. </w:t>
      </w:r>
      <w:r w:rsidRPr="00D0105B">
        <w:rPr>
          <w:rFonts w:ascii="Arial" w:eastAsia="Times New Roman" w:hAnsi="Arial" w:cs="Arial"/>
          <w:i/>
          <w:iCs/>
          <w:color w:val="000000"/>
          <w:kern w:val="0"/>
          <w:lang w:eastAsia="pt-BR"/>
          <w14:ligatures w14:val="none"/>
        </w:rPr>
        <w:t>Intervozes</w:t>
      </w:r>
      <w:r w:rsidRPr="00D0105B">
        <w:rPr>
          <w:rFonts w:ascii="Arial" w:eastAsia="Times New Roman" w:hAnsi="Arial" w:cs="Arial"/>
          <w:color w:val="000000"/>
          <w:kern w:val="0"/>
          <w:lang w:eastAsia="pt-BR"/>
          <w14:ligatures w14:val="none"/>
        </w:rPr>
        <w:t>, v. 3, n. 2, p. 119-122, nov. 2018.</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 xml:space="preserve">Dieese </w:t>
      </w:r>
      <w:r w:rsidRPr="00D0105B">
        <w:rPr>
          <w:rFonts w:ascii="Arial" w:eastAsia="Times New Roman" w:hAnsi="Arial" w:cs="Arial"/>
          <w:color w:val="000000"/>
          <w:kern w:val="0"/>
          <w:lang w:eastAsia="pt-BR"/>
          <w14:ligatures w14:val="none"/>
        </w:rPr>
        <w:t xml:space="preserve">– Departamento Intersindical de Estatística e Estudos Socioeconômicos./ </w:t>
      </w:r>
      <w:r w:rsidRPr="00D0105B">
        <w:rPr>
          <w:rFonts w:ascii="Arial" w:eastAsia="Times New Roman" w:hAnsi="Arial" w:cs="Arial"/>
          <w:b/>
          <w:bCs/>
          <w:color w:val="000000"/>
          <w:kern w:val="0"/>
          <w:lang w:eastAsia="pt-BR"/>
          <w14:ligatures w14:val="none"/>
        </w:rPr>
        <w:t xml:space="preserve">ANFIP </w:t>
      </w:r>
      <w:r w:rsidRPr="00D0105B">
        <w:rPr>
          <w:rFonts w:ascii="Arial" w:eastAsia="Times New Roman" w:hAnsi="Arial" w:cs="Arial"/>
          <w:color w:val="000000"/>
          <w:kern w:val="0"/>
          <w:lang w:eastAsia="pt-BR"/>
          <w14:ligatures w14:val="none"/>
        </w:rPr>
        <w:t>– Associação Nacional dos Auditores Fiscais da Receita Federal do Brasil. Previdência: reformar para excluir? Contribuição técnica ao debate sobre a reforma da previdência social brasileira - Brasília: DIEESE/ ANFIP; 2017 48p. (Documento síntese).</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Faleiros</w:t>
      </w:r>
      <w:r w:rsidRPr="00D0105B">
        <w:rPr>
          <w:rFonts w:ascii="Arial" w:eastAsia="Times New Roman" w:hAnsi="Arial" w:cs="Arial"/>
          <w:color w:val="000000"/>
          <w:kern w:val="0"/>
          <w:lang w:eastAsia="pt-BR"/>
          <w14:ligatures w14:val="none"/>
        </w:rPr>
        <w:t xml:space="preserve">, Vicente de P. </w:t>
      </w:r>
      <w:r w:rsidRPr="00D0105B">
        <w:rPr>
          <w:rFonts w:ascii="Arial" w:eastAsia="Times New Roman" w:hAnsi="Arial" w:cs="Arial"/>
          <w:i/>
          <w:iCs/>
          <w:color w:val="000000"/>
          <w:kern w:val="0"/>
          <w:lang w:eastAsia="pt-BR"/>
          <w14:ligatures w14:val="none"/>
        </w:rPr>
        <w:t>A política social do estado capitalista.</w:t>
      </w:r>
      <w:r w:rsidRPr="00D0105B">
        <w:rPr>
          <w:rFonts w:ascii="Arial" w:eastAsia="Times New Roman" w:hAnsi="Arial" w:cs="Arial"/>
          <w:color w:val="000000"/>
          <w:kern w:val="0"/>
          <w:lang w:eastAsia="pt-BR"/>
          <w14:ligatures w14:val="none"/>
        </w:rPr>
        <w:t xml:space="preserve"> As funções da previdência e da assistência social. São Paulo: Cortez, 1991.</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Faria</w:t>
      </w:r>
      <w:r w:rsidRPr="00D0105B">
        <w:rPr>
          <w:rFonts w:ascii="Arial" w:eastAsia="Times New Roman" w:hAnsi="Arial" w:cs="Arial"/>
          <w:color w:val="000000"/>
          <w:kern w:val="0"/>
          <w:lang w:eastAsia="pt-BR"/>
          <w14:ligatures w14:val="none"/>
        </w:rPr>
        <w:t>, Gabriele G. Tecnologias da informação e comunicação nas políticas sociais: opacidade e ilusão democrata. in Revista Katálysis, Florianópolis, v. 25, n. 1, p. 137–146, jan./abr. 2022. Disponível em: https://doi.org/10.1590/1982-0259.2022.e82314.</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Filgueiras</w:t>
      </w:r>
      <w:r w:rsidRPr="00D0105B">
        <w:rPr>
          <w:rFonts w:ascii="Arial" w:eastAsia="Times New Roman" w:hAnsi="Arial" w:cs="Arial"/>
          <w:color w:val="000000"/>
          <w:kern w:val="0"/>
          <w:lang w:eastAsia="pt-BR"/>
          <w14:ligatures w14:val="none"/>
        </w:rPr>
        <w:t>, Luiz; et al. O TERCEIRO GOVERNO LULA: limites e perspectivas. in Caderno CRH, Salvador, vol 35, p. 1-10, 2023.</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Frente parlamentar em defesa da Previdência Social</w:t>
      </w:r>
      <w:r w:rsidRPr="00D0105B">
        <w:rPr>
          <w:rFonts w:ascii="Arial" w:eastAsia="Times New Roman" w:hAnsi="Arial" w:cs="Arial"/>
          <w:color w:val="000000"/>
          <w:kern w:val="0"/>
          <w:lang w:eastAsia="pt-BR"/>
          <w14:ligatures w14:val="none"/>
        </w:rPr>
        <w:t>. Desmistificando o Déficit da Previdência. Brasil. Maio, 2016.</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Galizia</w:t>
      </w:r>
      <w:r w:rsidRPr="00D0105B">
        <w:rPr>
          <w:rFonts w:ascii="Arial" w:eastAsia="Times New Roman" w:hAnsi="Arial" w:cs="Arial"/>
          <w:color w:val="000000"/>
          <w:kern w:val="0"/>
          <w:lang w:eastAsia="pt-BR"/>
          <w14:ligatures w14:val="none"/>
        </w:rPr>
        <w:t xml:space="preserve">, Silvina, </w:t>
      </w:r>
      <w:r w:rsidRPr="00D0105B">
        <w:rPr>
          <w:rFonts w:ascii="Arial" w:eastAsia="Times New Roman" w:hAnsi="Arial" w:cs="Arial"/>
          <w:b/>
          <w:bCs/>
          <w:color w:val="000000"/>
          <w:kern w:val="0"/>
          <w:lang w:eastAsia="pt-BR"/>
          <w14:ligatures w14:val="none"/>
        </w:rPr>
        <w:t xml:space="preserve">Gil </w:t>
      </w:r>
      <w:r w:rsidRPr="00D0105B">
        <w:rPr>
          <w:rFonts w:ascii="Arial" w:eastAsia="Times New Roman" w:hAnsi="Arial" w:cs="Arial"/>
          <w:color w:val="000000"/>
          <w:kern w:val="0"/>
          <w:lang w:eastAsia="pt-BR"/>
          <w14:ligatures w14:val="none"/>
        </w:rPr>
        <w:t xml:space="preserve">Vieira, Camila., </w:t>
      </w:r>
      <w:r w:rsidRPr="00D0105B">
        <w:rPr>
          <w:rFonts w:ascii="Arial" w:eastAsia="Times New Roman" w:hAnsi="Arial" w:cs="Arial"/>
          <w:b/>
          <w:bCs/>
          <w:color w:val="000000"/>
          <w:kern w:val="0"/>
          <w:lang w:eastAsia="pt-BR"/>
          <w14:ligatures w14:val="none"/>
        </w:rPr>
        <w:t>Mendes</w:t>
      </w:r>
      <w:r w:rsidRPr="00D0105B">
        <w:rPr>
          <w:rFonts w:ascii="Arial" w:eastAsia="Times New Roman" w:hAnsi="Arial" w:cs="Arial"/>
          <w:color w:val="000000"/>
          <w:kern w:val="0"/>
          <w:lang w:eastAsia="pt-BR"/>
          <w14:ligatures w14:val="none"/>
        </w:rPr>
        <w:t>, Jéssica. Previdência social, fundos de pensões e a valorização do capital financeiro in Maranhão: Jornadas Internacionais de Políticas Públicas - JOINPP, 2019.</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Galizia</w:t>
      </w:r>
      <w:r w:rsidRPr="00D0105B">
        <w:rPr>
          <w:rFonts w:ascii="Arial" w:eastAsia="Times New Roman" w:hAnsi="Arial" w:cs="Arial"/>
          <w:color w:val="000000"/>
          <w:kern w:val="0"/>
          <w:lang w:eastAsia="pt-BR"/>
          <w14:ligatures w14:val="none"/>
        </w:rPr>
        <w:t xml:space="preserve">, Silvina; </w:t>
      </w:r>
      <w:r w:rsidRPr="00D0105B">
        <w:rPr>
          <w:rFonts w:ascii="Arial" w:eastAsia="Times New Roman" w:hAnsi="Arial" w:cs="Arial"/>
          <w:b/>
          <w:bCs/>
          <w:color w:val="000000"/>
          <w:kern w:val="0"/>
          <w:lang w:eastAsia="pt-BR"/>
          <w14:ligatures w14:val="none"/>
        </w:rPr>
        <w:t>Danne</w:t>
      </w:r>
      <w:r w:rsidRPr="00D0105B">
        <w:rPr>
          <w:rFonts w:ascii="Arial" w:eastAsia="Times New Roman" w:hAnsi="Arial" w:cs="Arial"/>
          <w:color w:val="000000"/>
          <w:kern w:val="0"/>
          <w:lang w:eastAsia="pt-BR"/>
          <w14:ligatures w14:val="none"/>
        </w:rPr>
        <w:t xml:space="preserve">, Júlia.; </w:t>
      </w:r>
      <w:r w:rsidRPr="00D0105B">
        <w:rPr>
          <w:rFonts w:ascii="Arial" w:eastAsia="Times New Roman" w:hAnsi="Arial" w:cs="Arial"/>
          <w:b/>
          <w:bCs/>
          <w:color w:val="000000"/>
          <w:kern w:val="0"/>
          <w:lang w:eastAsia="pt-BR"/>
          <w14:ligatures w14:val="none"/>
        </w:rPr>
        <w:t>Felix</w:t>
      </w:r>
      <w:r w:rsidRPr="00D0105B">
        <w:rPr>
          <w:rFonts w:ascii="Arial" w:eastAsia="Times New Roman" w:hAnsi="Arial" w:cs="Arial"/>
          <w:color w:val="000000"/>
          <w:kern w:val="0"/>
          <w:lang w:eastAsia="pt-BR"/>
          <w14:ligatures w14:val="none"/>
        </w:rPr>
        <w:t xml:space="preserve">, Emilly., </w:t>
      </w:r>
      <w:r w:rsidRPr="00D0105B">
        <w:rPr>
          <w:rFonts w:ascii="Arial" w:eastAsia="Times New Roman" w:hAnsi="Arial" w:cs="Arial"/>
          <w:b/>
          <w:bCs/>
          <w:color w:val="000000"/>
          <w:kern w:val="0"/>
          <w:lang w:eastAsia="pt-BR"/>
          <w14:ligatures w14:val="none"/>
        </w:rPr>
        <w:t>Rufino</w:t>
      </w:r>
      <w:r w:rsidRPr="00D0105B">
        <w:rPr>
          <w:rFonts w:ascii="Arial" w:eastAsia="Times New Roman" w:hAnsi="Arial" w:cs="Arial"/>
          <w:color w:val="000000"/>
          <w:kern w:val="0"/>
          <w:lang w:eastAsia="pt-BR"/>
          <w14:ligatures w14:val="none"/>
        </w:rPr>
        <w:t>, Samuel. A imprescindível relação entre a precarização do mercado de trabalho e a Previdência Social brasileira na contemporaneidade in L</w:t>
      </w:r>
      <w:r w:rsidR="00FB6F75">
        <w:rPr>
          <w:rFonts w:ascii="Arial" w:eastAsia="Times New Roman" w:hAnsi="Arial" w:cs="Arial"/>
          <w:color w:val="000000"/>
          <w:kern w:val="0"/>
          <w:lang w:eastAsia="pt-BR"/>
          <w14:ligatures w14:val="none"/>
        </w:rPr>
        <w:t>eite</w:t>
      </w:r>
      <w:r w:rsidRPr="00D0105B">
        <w:rPr>
          <w:rFonts w:ascii="Arial" w:eastAsia="Times New Roman" w:hAnsi="Arial" w:cs="Arial"/>
          <w:color w:val="000000"/>
          <w:kern w:val="0"/>
          <w:lang w:eastAsia="pt-BR"/>
          <w14:ligatures w14:val="none"/>
        </w:rPr>
        <w:t>, J. L.</w:t>
      </w:r>
      <w:r w:rsidR="000F491D">
        <w:rPr>
          <w:rFonts w:ascii="Arial" w:eastAsia="Times New Roman" w:hAnsi="Arial" w:cs="Arial"/>
          <w:color w:val="000000"/>
          <w:kern w:val="0"/>
          <w:lang w:eastAsia="pt-BR"/>
          <w14:ligatures w14:val="none"/>
        </w:rPr>
        <w:t xml:space="preserve"> et. al. - </w:t>
      </w:r>
      <w:r w:rsidR="00CF2275">
        <w:rPr>
          <w:rFonts w:ascii="Arial" w:eastAsia="Times New Roman" w:hAnsi="Arial" w:cs="Arial"/>
          <w:color w:val="000000"/>
          <w:kern w:val="0"/>
          <w:lang w:eastAsia="pt-BR"/>
          <w14:ligatures w14:val="none"/>
        </w:rPr>
        <w:t xml:space="preserve">Lutas </w:t>
      </w:r>
      <w:r w:rsidR="00CF2275" w:rsidRPr="00CF2275">
        <w:rPr>
          <w:rFonts w:ascii="Arial" w:eastAsia="Times New Roman" w:hAnsi="Arial" w:cs="Arial"/>
          <w:i/>
          <w:iCs/>
          <w:color w:val="000000"/>
          <w:kern w:val="0"/>
          <w:lang w:eastAsia="pt-BR"/>
          <w14:ligatures w14:val="none"/>
        </w:rPr>
        <w:t>sociais, políticas sociais e Serviço Social</w:t>
      </w:r>
      <w:r w:rsidR="00CF2275">
        <w:rPr>
          <w:rFonts w:ascii="Arial" w:eastAsia="Times New Roman" w:hAnsi="Arial" w:cs="Arial"/>
          <w:color w:val="000000"/>
          <w:kern w:val="0"/>
          <w:lang w:eastAsia="pt-BR"/>
          <w14:ligatures w14:val="none"/>
        </w:rPr>
        <w:t>. Col. JPN. Vol 6. Minas Gerais: Navegando Publicações.</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Gentil</w:t>
      </w:r>
      <w:r w:rsidRPr="00D0105B">
        <w:rPr>
          <w:rFonts w:ascii="Arial" w:eastAsia="Times New Roman" w:hAnsi="Arial" w:cs="Arial"/>
          <w:color w:val="000000"/>
          <w:kern w:val="0"/>
          <w:lang w:eastAsia="pt-BR"/>
          <w14:ligatures w14:val="none"/>
        </w:rPr>
        <w:t>, Denise L. A política fiscal e a falsa crise da seguridade social brasileira: análise financeira do período 1990-2005. Tese de doutorado – IE</w:t>
      </w:r>
      <w:r w:rsidR="008F431B">
        <w:rPr>
          <w:rFonts w:ascii="Arial" w:eastAsia="Times New Roman" w:hAnsi="Arial" w:cs="Arial"/>
          <w:color w:val="000000"/>
          <w:kern w:val="0"/>
          <w:lang w:eastAsia="pt-BR"/>
          <w14:ligatures w14:val="none"/>
        </w:rPr>
        <w:t xml:space="preserve"> </w:t>
      </w:r>
      <w:r w:rsidR="000F491D">
        <w:rPr>
          <w:rFonts w:ascii="Arial" w:eastAsia="Times New Roman" w:hAnsi="Arial" w:cs="Arial"/>
          <w:color w:val="000000"/>
          <w:kern w:val="0"/>
          <w:lang w:eastAsia="pt-BR"/>
          <w14:ligatures w14:val="none"/>
        </w:rPr>
        <w:t>–</w:t>
      </w:r>
      <w:r w:rsidR="008F431B">
        <w:rPr>
          <w:rFonts w:ascii="Arial" w:eastAsia="Times New Roman" w:hAnsi="Arial" w:cs="Arial"/>
          <w:color w:val="000000"/>
          <w:kern w:val="0"/>
          <w:lang w:eastAsia="pt-BR"/>
          <w14:ligatures w14:val="none"/>
        </w:rPr>
        <w:t xml:space="preserve"> </w:t>
      </w:r>
      <w:r w:rsidRPr="00D0105B">
        <w:rPr>
          <w:rFonts w:ascii="Arial" w:eastAsia="Times New Roman" w:hAnsi="Arial" w:cs="Arial"/>
          <w:color w:val="000000"/>
          <w:kern w:val="0"/>
          <w:lang w:eastAsia="pt-BR"/>
          <w14:ligatures w14:val="none"/>
        </w:rPr>
        <w:t>UFRJ</w:t>
      </w:r>
      <w:r w:rsidR="000F491D">
        <w:rPr>
          <w:rFonts w:ascii="Arial" w:eastAsia="Times New Roman" w:hAnsi="Arial" w:cs="Arial"/>
          <w:color w:val="000000"/>
          <w:kern w:val="0"/>
          <w:lang w:eastAsia="pt-BR"/>
          <w14:ligatures w14:val="none"/>
        </w:rPr>
        <w:t xml:space="preserve">: </w:t>
      </w:r>
      <w:r w:rsidRPr="00D0105B">
        <w:rPr>
          <w:rFonts w:ascii="Arial" w:eastAsia="Times New Roman" w:hAnsi="Arial" w:cs="Arial"/>
          <w:color w:val="000000"/>
          <w:kern w:val="0"/>
          <w:lang w:eastAsia="pt-BR"/>
          <w14:ligatures w14:val="none"/>
        </w:rPr>
        <w:t>Rio de Janeiro, 2006</w:t>
      </w:r>
    </w:p>
    <w:p w:rsidR="00D0105B" w:rsidRPr="00D0105B" w:rsidRDefault="00D0105B" w:rsidP="008F431B">
      <w:pPr>
        <w:spacing w:after="0" w:line="240" w:lineRule="auto"/>
        <w:jc w:val="both"/>
        <w:rPr>
          <w:rFonts w:ascii="Times New Roman" w:eastAsia="Times New Roman" w:hAnsi="Times New Roman" w:cs="Times New Roman"/>
          <w:kern w:val="0"/>
          <w:lang w:val="es-ES" w:eastAsia="pt-BR"/>
          <w14:ligatures w14:val="none"/>
        </w:rPr>
      </w:pPr>
      <w:r w:rsidRPr="000F2423">
        <w:rPr>
          <w:rFonts w:ascii="Arial" w:eastAsia="Times New Roman" w:hAnsi="Arial" w:cs="Arial"/>
          <w:b/>
          <w:bCs/>
          <w:color w:val="000000"/>
          <w:kern w:val="0"/>
          <w:lang w:eastAsia="pt-BR"/>
          <w14:ligatures w14:val="none"/>
        </w:rPr>
        <w:t>Gramsci</w:t>
      </w:r>
      <w:r w:rsidRPr="000F2423">
        <w:rPr>
          <w:rFonts w:ascii="Arial" w:eastAsia="Times New Roman" w:hAnsi="Arial" w:cs="Arial"/>
          <w:color w:val="000000"/>
          <w:kern w:val="0"/>
          <w:lang w:eastAsia="pt-BR"/>
          <w14:ligatures w14:val="none"/>
        </w:rPr>
        <w:t xml:space="preserve">, Antonio. </w:t>
      </w:r>
      <w:r w:rsidRPr="00D0105B">
        <w:rPr>
          <w:rFonts w:ascii="Arial" w:eastAsia="Times New Roman" w:hAnsi="Arial" w:cs="Arial"/>
          <w:i/>
          <w:iCs/>
          <w:color w:val="000000"/>
          <w:kern w:val="0"/>
          <w:lang w:val="es-ES" w:eastAsia="pt-BR"/>
          <w14:ligatures w14:val="none"/>
        </w:rPr>
        <w:t>Antologia</w:t>
      </w:r>
      <w:r w:rsidRPr="00D0105B">
        <w:rPr>
          <w:rFonts w:ascii="Arial" w:eastAsia="Times New Roman" w:hAnsi="Arial" w:cs="Arial"/>
          <w:color w:val="000000"/>
          <w:kern w:val="0"/>
          <w:lang w:val="es-ES" w:eastAsia="pt-BR"/>
          <w14:ligatures w14:val="none"/>
        </w:rPr>
        <w:t>. España: Siglo XXI, 11° ed., 1988.</w:t>
      </w:r>
    </w:p>
    <w:p w:rsidR="00D0105B" w:rsidRPr="00D0105B" w:rsidRDefault="00D0105B" w:rsidP="008F431B">
      <w:pPr>
        <w:spacing w:after="0" w:line="240" w:lineRule="auto"/>
        <w:jc w:val="both"/>
        <w:rPr>
          <w:rFonts w:ascii="Times New Roman" w:eastAsia="Times New Roman" w:hAnsi="Times New Roman" w:cs="Times New Roman"/>
          <w:kern w:val="0"/>
          <w:lang w:eastAsia="pt-BR"/>
          <w14:ligatures w14:val="none"/>
        </w:rPr>
      </w:pPr>
      <w:r w:rsidRPr="00D0105B">
        <w:rPr>
          <w:rFonts w:ascii="Arial" w:eastAsia="Times New Roman" w:hAnsi="Arial" w:cs="Arial"/>
          <w:b/>
          <w:bCs/>
          <w:color w:val="000000"/>
          <w:kern w:val="0"/>
          <w:lang w:eastAsia="pt-BR"/>
          <w14:ligatures w14:val="none"/>
        </w:rPr>
        <w:t>Netto</w:t>
      </w:r>
      <w:r w:rsidRPr="00D0105B">
        <w:rPr>
          <w:rFonts w:ascii="Arial" w:eastAsia="Times New Roman" w:hAnsi="Arial" w:cs="Arial"/>
          <w:color w:val="000000"/>
          <w:kern w:val="0"/>
          <w:lang w:eastAsia="pt-BR"/>
          <w14:ligatures w14:val="none"/>
        </w:rPr>
        <w:t xml:space="preserve">, José P. </w:t>
      </w:r>
      <w:r w:rsidRPr="00D0105B">
        <w:rPr>
          <w:rFonts w:ascii="Arial" w:eastAsia="Times New Roman" w:hAnsi="Arial" w:cs="Arial"/>
          <w:i/>
          <w:iCs/>
          <w:color w:val="000000"/>
          <w:kern w:val="0"/>
          <w:lang w:eastAsia="pt-BR"/>
          <w14:ligatures w14:val="none"/>
        </w:rPr>
        <w:t>Capitalismo Monopolista e Serviço Social</w:t>
      </w:r>
      <w:r w:rsidRPr="00D0105B">
        <w:rPr>
          <w:rFonts w:ascii="Arial" w:eastAsia="Times New Roman" w:hAnsi="Arial" w:cs="Arial"/>
          <w:color w:val="000000"/>
          <w:kern w:val="0"/>
          <w:lang w:eastAsia="pt-BR"/>
          <w14:ligatures w14:val="none"/>
        </w:rPr>
        <w:t>. São Paulo: Cortez, 1992.</w:t>
      </w:r>
    </w:p>
    <w:p w:rsidR="00D0105B" w:rsidRDefault="00D0105B" w:rsidP="008F431B">
      <w:pPr>
        <w:spacing w:line="240" w:lineRule="auto"/>
        <w:jc w:val="both"/>
      </w:pPr>
      <w:r w:rsidRPr="00D0105B">
        <w:rPr>
          <w:rFonts w:ascii="Arial" w:eastAsia="Times New Roman" w:hAnsi="Arial" w:cs="Arial"/>
          <w:b/>
          <w:bCs/>
          <w:color w:val="000000"/>
          <w:kern w:val="0"/>
          <w:lang w:eastAsia="pt-BR"/>
          <w14:ligatures w14:val="none"/>
        </w:rPr>
        <w:t>Saldanha</w:t>
      </w:r>
      <w:r w:rsidRPr="00D0105B">
        <w:rPr>
          <w:rFonts w:ascii="Arial" w:eastAsia="Times New Roman" w:hAnsi="Arial" w:cs="Arial"/>
          <w:color w:val="000000"/>
          <w:kern w:val="0"/>
          <w:lang w:eastAsia="pt-BR"/>
          <w14:ligatures w14:val="none"/>
        </w:rPr>
        <w:t xml:space="preserve">, José M. – </w:t>
      </w:r>
      <w:r w:rsidRPr="00D0105B">
        <w:rPr>
          <w:rFonts w:ascii="Arial" w:eastAsia="Times New Roman" w:hAnsi="Arial" w:cs="Arial"/>
          <w:b/>
          <w:bCs/>
          <w:color w:val="000000"/>
          <w:kern w:val="0"/>
          <w:lang w:eastAsia="pt-BR"/>
          <w14:ligatures w14:val="none"/>
        </w:rPr>
        <w:t>Granemann</w:t>
      </w:r>
      <w:r w:rsidRPr="00D0105B">
        <w:rPr>
          <w:rFonts w:ascii="Arial" w:eastAsia="Times New Roman" w:hAnsi="Arial" w:cs="Arial"/>
          <w:color w:val="000000"/>
          <w:kern w:val="0"/>
          <w:lang w:eastAsia="pt-BR"/>
          <w14:ligatures w14:val="none"/>
        </w:rPr>
        <w:t>, Sara. “Os falsos argumentos da contrarreforma previdenciária do governo Lula” e “Os fundos de pensão e a acumulação capitalista” in Cadernos AdUFRJ. Rio de Janeiro, maio de 2003.</w:t>
      </w:r>
    </w:p>
    <w:sectPr w:rsidR="00D010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824" w:rsidRDefault="00991824" w:rsidP="00243ECF">
      <w:pPr>
        <w:spacing w:after="0" w:line="240" w:lineRule="auto"/>
      </w:pPr>
      <w:r>
        <w:separator/>
      </w:r>
    </w:p>
  </w:endnote>
  <w:endnote w:type="continuationSeparator" w:id="0">
    <w:p w:rsidR="00991824" w:rsidRDefault="00991824" w:rsidP="0024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824" w:rsidRDefault="00991824" w:rsidP="00243ECF">
      <w:pPr>
        <w:spacing w:after="0" w:line="240" w:lineRule="auto"/>
      </w:pPr>
      <w:r>
        <w:separator/>
      </w:r>
    </w:p>
  </w:footnote>
  <w:footnote w:type="continuationSeparator" w:id="0">
    <w:p w:rsidR="00991824" w:rsidRDefault="00991824" w:rsidP="00243ECF">
      <w:pPr>
        <w:spacing w:after="0" w:line="240" w:lineRule="auto"/>
      </w:pPr>
      <w:r>
        <w:continuationSeparator/>
      </w:r>
    </w:p>
  </w:footnote>
  <w:footnote w:id="1">
    <w:p w:rsidR="00243ECF" w:rsidRPr="00243ECF" w:rsidRDefault="00243ECF" w:rsidP="00243ECF">
      <w:pPr>
        <w:pStyle w:val="Textodenotaderodap"/>
        <w:ind w:left="142" w:hanging="142"/>
        <w:rPr>
          <w:rFonts w:ascii="Arial" w:hAnsi="Arial" w:cs="Arial"/>
        </w:rPr>
      </w:pPr>
      <w:r w:rsidRPr="00243ECF">
        <w:rPr>
          <w:rStyle w:val="Refdenotaderodap"/>
          <w:rFonts w:ascii="Arial" w:hAnsi="Arial" w:cs="Arial"/>
        </w:rPr>
        <w:footnoteRef/>
      </w:r>
      <w:r w:rsidRPr="00243ECF">
        <w:rPr>
          <w:rFonts w:ascii="Arial" w:hAnsi="Arial" w:cs="Arial"/>
        </w:rPr>
        <w:t xml:space="preserve"> Profa. Dra. do Dpto. de Política Social e Serviço Social Aplicado e do PPGSS da ESS - UFRJ. Silvinagalizia@gmail.com</w:t>
      </w:r>
    </w:p>
  </w:footnote>
  <w:footnote w:id="2">
    <w:p w:rsidR="00243ECF" w:rsidRPr="00243ECF" w:rsidRDefault="00243ECF" w:rsidP="00243ECF">
      <w:pPr>
        <w:pStyle w:val="Textodenotaderodap"/>
        <w:ind w:left="142" w:hanging="142"/>
        <w:rPr>
          <w:rFonts w:ascii="Arial" w:hAnsi="Arial" w:cs="Arial"/>
        </w:rPr>
      </w:pPr>
      <w:r w:rsidRPr="00243ECF">
        <w:rPr>
          <w:rStyle w:val="Refdenotaderodap"/>
          <w:rFonts w:ascii="Arial" w:hAnsi="Arial" w:cs="Arial"/>
        </w:rPr>
        <w:footnoteRef/>
      </w:r>
      <w:r w:rsidRPr="00243ECF">
        <w:rPr>
          <w:rFonts w:ascii="Arial" w:hAnsi="Arial" w:cs="Arial"/>
        </w:rPr>
        <w:t xml:space="preserve"> Estudantes de graduação e pesquisadora da ESS-UFRJ.</w:t>
      </w:r>
      <w:r w:rsidR="00EB53D3">
        <w:rPr>
          <w:rFonts w:ascii="Arial" w:hAnsi="Arial" w:cs="Arial"/>
        </w:rPr>
        <w:t xml:space="preserve"> </w:t>
      </w:r>
      <w:r w:rsidR="000F2423">
        <w:rPr>
          <w:rFonts w:ascii="Arial" w:hAnsi="Arial" w:cs="Arial"/>
        </w:rPr>
        <w:t>s</w:t>
      </w:r>
      <w:r w:rsidR="00EB53D3">
        <w:rPr>
          <w:rFonts w:ascii="Arial" w:hAnsi="Arial" w:cs="Arial"/>
        </w:rPr>
        <w:t>s.brunaakar0line@gmail.com</w:t>
      </w:r>
    </w:p>
  </w:footnote>
  <w:footnote w:id="3">
    <w:p w:rsidR="00243ECF" w:rsidRPr="00243ECF" w:rsidRDefault="00243ECF" w:rsidP="00243ECF">
      <w:pPr>
        <w:pStyle w:val="Textodenotaderodap"/>
        <w:ind w:left="142" w:hanging="142"/>
        <w:rPr>
          <w:rFonts w:ascii="Arial" w:hAnsi="Arial" w:cs="Arial"/>
        </w:rPr>
      </w:pPr>
      <w:r w:rsidRPr="00243ECF">
        <w:rPr>
          <w:rStyle w:val="Refdenotaderodap"/>
          <w:rFonts w:ascii="Arial" w:hAnsi="Arial" w:cs="Arial"/>
        </w:rPr>
        <w:footnoteRef/>
      </w:r>
      <w:r w:rsidRPr="00243ECF">
        <w:rPr>
          <w:rFonts w:ascii="Arial" w:hAnsi="Arial" w:cs="Arial"/>
        </w:rPr>
        <w:t xml:space="preserve"> Estudantes de graduação e pesquisadora da ESS-UFRJ.</w:t>
      </w:r>
      <w:r w:rsidR="00EB53D3">
        <w:rPr>
          <w:rFonts w:ascii="Arial" w:hAnsi="Arial" w:cs="Arial"/>
        </w:rPr>
        <w:t>marinavial13@gmail.com</w:t>
      </w:r>
    </w:p>
  </w:footnote>
  <w:footnote w:id="4">
    <w:p w:rsidR="00CF2275" w:rsidRPr="00CF2275" w:rsidRDefault="00CF2275" w:rsidP="00CF2275">
      <w:pPr>
        <w:pStyle w:val="Textodenotaderodap"/>
        <w:ind w:left="142" w:hanging="142"/>
        <w:jc w:val="both"/>
        <w:rPr>
          <w:rFonts w:ascii="Arial" w:hAnsi="Arial" w:cs="Arial"/>
        </w:rPr>
      </w:pPr>
      <w:r w:rsidRPr="00CF2275">
        <w:rPr>
          <w:rStyle w:val="Refdenotaderodap"/>
          <w:rFonts w:ascii="Arial" w:hAnsi="Arial" w:cs="Arial"/>
        </w:rPr>
        <w:footnoteRef/>
      </w:r>
      <w:r w:rsidRPr="00CF2275">
        <w:rPr>
          <w:rFonts w:ascii="Arial" w:hAnsi="Arial" w:cs="Arial"/>
        </w:rPr>
        <w:t xml:space="preserve">  As mídias pesquisadas foram: CNN, g1, Metrópoles, Folha de S. Paulo, O Globo, Gazeta do Povo, Estado de Minas, Jornal Extra, UOL, Terra, Revista Veja, Revista IstoÉ.</w:t>
      </w:r>
    </w:p>
  </w:footnote>
  <w:footnote w:id="5">
    <w:p w:rsidR="00CF2275" w:rsidRDefault="00CF2275" w:rsidP="00CF2275">
      <w:pPr>
        <w:pStyle w:val="Textodenotaderodap"/>
        <w:ind w:left="142" w:hanging="142"/>
        <w:jc w:val="both"/>
      </w:pPr>
      <w:r w:rsidRPr="00CF2275">
        <w:rPr>
          <w:rStyle w:val="Refdenotaderodap"/>
          <w:rFonts w:ascii="Arial" w:hAnsi="Arial" w:cs="Arial"/>
        </w:rPr>
        <w:footnoteRef/>
      </w:r>
      <w:r w:rsidRPr="00CF2275">
        <w:rPr>
          <w:rFonts w:ascii="Arial" w:hAnsi="Arial" w:cs="Arial"/>
        </w:rPr>
        <w:t xml:space="preserve"> A categoria “progressista”, embora teoricamente imprecisa, é aqui usada para definir sujeitos, grupos ou forças sociais que buscam transformar as estruturas sociais, econômicas, culturais e políticas, visando ampliar direitos, reduzir desigualdades e fortalecer a democracia e a justiça social. As mídias deste grupo foram: Brasil de Fato, Carta Capital, Fenajufe, Outras Palavras, Poder 360, Agência Brasil, Brasil 247,</w:t>
      </w:r>
      <w:r>
        <w:rPr>
          <w:rFonts w:ascii="Arial" w:hAnsi="Arial" w:cs="Arial"/>
        </w:rPr>
        <w:t xml:space="preserve"> </w:t>
      </w:r>
      <w:r w:rsidRPr="00CF2275">
        <w:rPr>
          <w:rFonts w:ascii="Arial" w:hAnsi="Arial" w:cs="Arial"/>
        </w:rPr>
        <w:t>Diplomatique.</w:t>
      </w:r>
    </w:p>
  </w:footnote>
  <w:footnote w:id="6">
    <w:p w:rsidR="00CF2275" w:rsidRPr="00CF2275" w:rsidRDefault="00CF2275" w:rsidP="00CF2275">
      <w:pPr>
        <w:pStyle w:val="Textodenotaderodap"/>
        <w:ind w:left="142" w:hanging="142"/>
        <w:jc w:val="both"/>
        <w:rPr>
          <w:rFonts w:ascii="Arial" w:hAnsi="Arial" w:cs="Arial"/>
        </w:rPr>
      </w:pPr>
      <w:r w:rsidRPr="00CF2275">
        <w:rPr>
          <w:rStyle w:val="Refdenotaderodap"/>
          <w:rFonts w:ascii="Arial" w:hAnsi="Arial" w:cs="Arial"/>
        </w:rPr>
        <w:footnoteRef/>
      </w:r>
      <w:r w:rsidRPr="00CF2275">
        <w:rPr>
          <w:rFonts w:ascii="Arial" w:hAnsi="Arial" w:cs="Arial"/>
        </w:rPr>
        <w:t xml:space="preserve"> O “Arcabouço Fiscal” é um conjunto de regras propostas e aprovadas em 2023, início do governo de coalizão do Lula da Silva, para controlar e limitar os gastos públicos de maneira que não superem a arrecadação fiscal</w:t>
      </w:r>
    </w:p>
  </w:footnote>
  <w:footnote w:id="7">
    <w:p w:rsidR="00EB53D3" w:rsidRDefault="00EB53D3" w:rsidP="00EB53D3">
      <w:pPr>
        <w:pStyle w:val="Textodenotaderodap"/>
        <w:ind w:left="142" w:hanging="142"/>
      </w:pPr>
      <w:r>
        <w:rPr>
          <w:rStyle w:val="Refdenotaderodap"/>
        </w:rPr>
        <w:footnoteRef/>
      </w:r>
      <w:r>
        <w:t xml:space="preserve"> </w:t>
      </w:r>
      <w:r w:rsidRPr="00EB53D3">
        <w:rPr>
          <w:rFonts w:ascii="Arial" w:hAnsi="Arial" w:cs="Arial"/>
        </w:rPr>
        <w:t>“Superávit primário” é o saldo entre todas as receitas e todas as despesas do governo, incluindo o pagamento de juros da dívida.</w:t>
      </w:r>
    </w:p>
  </w:footnote>
  <w:footnote w:id="8">
    <w:p w:rsidR="0005122E" w:rsidRPr="0005122E" w:rsidRDefault="0005122E" w:rsidP="0005122E">
      <w:pPr>
        <w:pStyle w:val="Textodenotaderodap"/>
        <w:ind w:left="142" w:hanging="142"/>
        <w:jc w:val="both"/>
        <w:rPr>
          <w:rFonts w:ascii="Arial" w:hAnsi="Arial" w:cs="Arial"/>
        </w:rPr>
      </w:pPr>
      <w:r>
        <w:rPr>
          <w:rStyle w:val="Refdenotaderodap"/>
        </w:rPr>
        <w:footnoteRef/>
      </w:r>
      <w:r>
        <w:t xml:space="preserve"> </w:t>
      </w:r>
      <w:r w:rsidRPr="0005122E">
        <w:t> </w:t>
      </w:r>
      <w:r w:rsidRPr="0005122E">
        <w:rPr>
          <w:rFonts w:ascii="Arial" w:hAnsi="Arial" w:cs="Arial"/>
        </w:rPr>
        <w:t>Partidos políticos considerados “progressistas” e que formam parte da coalizão governista são os de centro, centro-esquerda ou esquerda: PSOL, PC</w:t>
      </w:r>
      <w:r>
        <w:rPr>
          <w:rFonts w:ascii="Arial" w:hAnsi="Arial" w:cs="Arial"/>
        </w:rPr>
        <w:t xml:space="preserve"> </w:t>
      </w:r>
      <w:r w:rsidRPr="0005122E">
        <w:rPr>
          <w:rFonts w:ascii="Arial" w:hAnsi="Arial" w:cs="Arial"/>
        </w:rPr>
        <w:t>do B, REDE, PT, PDT, PSB.</w:t>
      </w:r>
    </w:p>
  </w:footnote>
  <w:footnote w:id="9">
    <w:p w:rsidR="0005122E" w:rsidRDefault="0005122E" w:rsidP="0005122E">
      <w:pPr>
        <w:pStyle w:val="Textodenotaderodap"/>
        <w:ind w:left="142" w:hanging="142"/>
        <w:jc w:val="both"/>
      </w:pPr>
      <w:r w:rsidRPr="0005122E">
        <w:rPr>
          <w:rStyle w:val="Refdenotaderodap"/>
          <w:rFonts w:ascii="Arial" w:hAnsi="Arial" w:cs="Arial"/>
        </w:rPr>
        <w:footnoteRef/>
      </w:r>
      <w:r w:rsidRPr="0005122E">
        <w:rPr>
          <w:rFonts w:ascii="Arial" w:hAnsi="Arial" w:cs="Arial"/>
        </w:rPr>
        <w:t xml:space="preserve"> Os economistas </w:t>
      </w:r>
      <w:r w:rsidR="000F491D">
        <w:rPr>
          <w:rFonts w:ascii="Arial" w:hAnsi="Arial" w:cs="Arial"/>
        </w:rPr>
        <w:t xml:space="preserve">neoliberais </w:t>
      </w:r>
      <w:r w:rsidRPr="0005122E">
        <w:rPr>
          <w:rFonts w:ascii="Arial" w:hAnsi="Arial" w:cs="Arial"/>
        </w:rPr>
        <w:t>identificados pelo Observatório que reiteram os argumentos que promovem o sistema de capitalização privado são:</w:t>
      </w:r>
      <w:r w:rsidRPr="0005122E">
        <w:rPr>
          <w:rFonts w:ascii="Arial" w:hAnsi="Arial" w:cs="Arial"/>
          <w:b/>
          <w:bCs/>
        </w:rPr>
        <w:t xml:space="preserve"> </w:t>
      </w:r>
      <w:r w:rsidRPr="0005122E">
        <w:rPr>
          <w:rFonts w:ascii="Arial" w:hAnsi="Arial" w:cs="Arial"/>
        </w:rPr>
        <w:t>Paulo Tafner, Fábio Giambiagi, Raul Velloso, Ecio Costa e Marcos Mendes</w:t>
      </w:r>
      <w:r w:rsidR="000F491D">
        <w:rPr>
          <w:rFonts w:ascii="Arial" w:hAnsi="Arial" w:cs="Arial"/>
        </w:rPr>
        <w:t>.</w:t>
      </w:r>
    </w:p>
  </w:footnote>
  <w:footnote w:id="10">
    <w:p w:rsidR="0005122E" w:rsidRPr="0005122E" w:rsidRDefault="0005122E">
      <w:pPr>
        <w:pStyle w:val="Textodenotaderodap"/>
        <w:rPr>
          <w:rFonts w:ascii="Arial" w:hAnsi="Arial" w:cs="Arial"/>
        </w:rPr>
      </w:pPr>
      <w:r w:rsidRPr="0005122E">
        <w:rPr>
          <w:rStyle w:val="Refdenotaderodap"/>
          <w:rFonts w:ascii="Arial" w:hAnsi="Arial" w:cs="Arial"/>
        </w:rPr>
        <w:footnoteRef/>
      </w:r>
      <w:r w:rsidRPr="0005122E">
        <w:rPr>
          <w:rFonts w:ascii="Arial" w:hAnsi="Arial" w:cs="Arial"/>
        </w:rPr>
        <w:t xml:space="preserve"> Saldanha, J</w:t>
      </w:r>
      <w:r w:rsidR="000F491D">
        <w:rPr>
          <w:rFonts w:ascii="Arial" w:hAnsi="Arial" w:cs="Arial"/>
        </w:rPr>
        <w:t>.</w:t>
      </w:r>
      <w:r w:rsidRPr="0005122E">
        <w:rPr>
          <w:rFonts w:ascii="Arial" w:hAnsi="Arial" w:cs="Arial"/>
        </w:rPr>
        <w:t>, Granemann, S. (2003); Gentil</w:t>
      </w:r>
      <w:r w:rsidRPr="000F491D">
        <w:rPr>
          <w:rFonts w:ascii="Arial" w:hAnsi="Arial" w:cs="Arial"/>
        </w:rPr>
        <w:t xml:space="preserve"> (2006),</w:t>
      </w:r>
      <w:r w:rsidRPr="0005122E">
        <w:rPr>
          <w:rFonts w:ascii="Arial" w:hAnsi="Arial" w:cs="Arial"/>
        </w:rPr>
        <w:t xml:space="preserve"> Galizia S. et. al. (2019 e 2023).</w:t>
      </w:r>
    </w:p>
  </w:footnote>
  <w:footnote w:id="11">
    <w:p w:rsidR="0005122E" w:rsidRPr="0005122E" w:rsidRDefault="0005122E" w:rsidP="0005122E">
      <w:pPr>
        <w:pStyle w:val="Textodenotaderodap"/>
        <w:ind w:left="142" w:hanging="142"/>
        <w:rPr>
          <w:rFonts w:ascii="Arial" w:hAnsi="Arial" w:cs="Arial"/>
        </w:rPr>
      </w:pPr>
      <w:r w:rsidRPr="0005122E">
        <w:rPr>
          <w:rStyle w:val="Refdenotaderodap"/>
          <w:rFonts w:ascii="Arial" w:hAnsi="Arial" w:cs="Arial"/>
        </w:rPr>
        <w:footnoteRef/>
      </w:r>
      <w:r w:rsidRPr="0005122E">
        <w:rPr>
          <w:rFonts w:ascii="Arial" w:hAnsi="Arial" w:cs="Arial"/>
        </w:rPr>
        <w:t xml:space="preserve">  Frente Parlamentar Mista (2016), Dieese/Anfip (2017), Brettas (2018), Galizia et. al. (2019), entre outros.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F7683"/>
    <w:multiLevelType w:val="hybridMultilevel"/>
    <w:tmpl w:val="FD3C95DE"/>
    <w:lvl w:ilvl="0" w:tplc="35D8EA60">
      <w:start w:val="1"/>
      <w:numFmt w:val="decimal"/>
      <w:lvlText w:val="%1."/>
      <w:lvlJc w:val="left"/>
      <w:pPr>
        <w:ind w:left="720" w:hanging="360"/>
      </w:pPr>
      <w:rPr>
        <w:rFonts w:ascii="Arial" w:hAnsi="Arial" w:cs="Arial"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5687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5B"/>
    <w:rsid w:val="0005122E"/>
    <w:rsid w:val="000F2423"/>
    <w:rsid w:val="000F491D"/>
    <w:rsid w:val="0011309F"/>
    <w:rsid w:val="0019329B"/>
    <w:rsid w:val="00243ECF"/>
    <w:rsid w:val="00364ADC"/>
    <w:rsid w:val="00864E0C"/>
    <w:rsid w:val="00867B7C"/>
    <w:rsid w:val="008F431B"/>
    <w:rsid w:val="00991824"/>
    <w:rsid w:val="00A223C8"/>
    <w:rsid w:val="00CF2275"/>
    <w:rsid w:val="00D0105B"/>
    <w:rsid w:val="00D24A37"/>
    <w:rsid w:val="00EB53D3"/>
    <w:rsid w:val="00EB695B"/>
    <w:rsid w:val="00FB6F75"/>
  </w:rsids>
  <m:mathPr>
    <m:mathFont m:val="Cambria Math"/>
    <m:brkBin m:val="before"/>
    <m:brkBinSub m:val="--"/>
    <m:smallFrac m:val="0"/>
    <m:dispDef/>
    <m:lMargin m:val="0"/>
    <m:rMargin m:val="0"/>
    <m:defJc m:val="centerGroup"/>
    <m:wrapIndent m:val="1440"/>
    <m:intLim m:val="subSup"/>
    <m:naryLim m:val="undOvr"/>
  </m:mathPr>
  <w:themeFontLang w:val="pt-BR"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35CA"/>
  <w15:chartTrackingRefBased/>
  <w15:docId w15:val="{0A5F9D40-93FD-4A8D-987E-AF3860DF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01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01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010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010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010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010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010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010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010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0105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0105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0105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0105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0105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010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010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010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0105B"/>
    <w:rPr>
      <w:rFonts w:eastAsiaTheme="majorEastAsia" w:cstheme="majorBidi"/>
      <w:color w:val="272727" w:themeColor="text1" w:themeTint="D8"/>
    </w:rPr>
  </w:style>
  <w:style w:type="paragraph" w:styleId="Ttulo">
    <w:name w:val="Title"/>
    <w:basedOn w:val="Normal"/>
    <w:next w:val="Normal"/>
    <w:link w:val="TtuloChar"/>
    <w:uiPriority w:val="10"/>
    <w:qFormat/>
    <w:rsid w:val="00D01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010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010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010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0105B"/>
    <w:pPr>
      <w:spacing w:before="160"/>
      <w:jc w:val="center"/>
    </w:pPr>
    <w:rPr>
      <w:i/>
      <w:iCs/>
      <w:color w:val="404040" w:themeColor="text1" w:themeTint="BF"/>
    </w:rPr>
  </w:style>
  <w:style w:type="character" w:customStyle="1" w:styleId="CitaoChar">
    <w:name w:val="Citação Char"/>
    <w:basedOn w:val="Fontepargpadro"/>
    <w:link w:val="Citao"/>
    <w:uiPriority w:val="29"/>
    <w:rsid w:val="00D0105B"/>
    <w:rPr>
      <w:i/>
      <w:iCs/>
      <w:color w:val="404040" w:themeColor="text1" w:themeTint="BF"/>
    </w:rPr>
  </w:style>
  <w:style w:type="paragraph" w:styleId="PargrafodaLista">
    <w:name w:val="List Paragraph"/>
    <w:basedOn w:val="Normal"/>
    <w:uiPriority w:val="34"/>
    <w:qFormat/>
    <w:rsid w:val="00D0105B"/>
    <w:pPr>
      <w:ind w:left="720"/>
      <w:contextualSpacing/>
    </w:pPr>
  </w:style>
  <w:style w:type="character" w:styleId="nfaseIntensa">
    <w:name w:val="Intense Emphasis"/>
    <w:basedOn w:val="Fontepargpadro"/>
    <w:uiPriority w:val="21"/>
    <w:qFormat/>
    <w:rsid w:val="00D0105B"/>
    <w:rPr>
      <w:i/>
      <w:iCs/>
      <w:color w:val="2F5496" w:themeColor="accent1" w:themeShade="BF"/>
    </w:rPr>
  </w:style>
  <w:style w:type="paragraph" w:styleId="CitaoIntensa">
    <w:name w:val="Intense Quote"/>
    <w:basedOn w:val="Normal"/>
    <w:next w:val="Normal"/>
    <w:link w:val="CitaoIntensaChar"/>
    <w:uiPriority w:val="30"/>
    <w:qFormat/>
    <w:rsid w:val="00D01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0105B"/>
    <w:rPr>
      <w:i/>
      <w:iCs/>
      <w:color w:val="2F5496" w:themeColor="accent1" w:themeShade="BF"/>
    </w:rPr>
  </w:style>
  <w:style w:type="character" w:styleId="RefernciaIntensa">
    <w:name w:val="Intense Reference"/>
    <w:basedOn w:val="Fontepargpadro"/>
    <w:uiPriority w:val="32"/>
    <w:qFormat/>
    <w:rsid w:val="00D0105B"/>
    <w:rPr>
      <w:b/>
      <w:bCs/>
      <w:smallCaps/>
      <w:color w:val="2F5496" w:themeColor="accent1" w:themeShade="BF"/>
      <w:spacing w:val="5"/>
    </w:rPr>
  </w:style>
  <w:style w:type="paragraph" w:styleId="Textodenotaderodap">
    <w:name w:val="footnote text"/>
    <w:basedOn w:val="Normal"/>
    <w:link w:val="TextodenotaderodapChar"/>
    <w:uiPriority w:val="99"/>
    <w:semiHidden/>
    <w:unhideWhenUsed/>
    <w:rsid w:val="00243E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3ECF"/>
    <w:rPr>
      <w:sz w:val="20"/>
      <w:szCs w:val="20"/>
    </w:rPr>
  </w:style>
  <w:style w:type="character" w:styleId="Refdenotaderodap">
    <w:name w:val="footnote reference"/>
    <w:basedOn w:val="Fontepargpadro"/>
    <w:uiPriority w:val="99"/>
    <w:semiHidden/>
    <w:unhideWhenUsed/>
    <w:rsid w:val="00243ECF"/>
    <w:rPr>
      <w:vertAlign w:val="superscript"/>
    </w:rPr>
  </w:style>
  <w:style w:type="paragraph" w:styleId="NormalWeb">
    <w:name w:val="Normal (Web)"/>
    <w:basedOn w:val="Normal"/>
    <w:uiPriority w:val="99"/>
    <w:semiHidden/>
    <w:unhideWhenUsed/>
    <w:rsid w:val="00CF22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049">
      <w:bodyDiv w:val="1"/>
      <w:marLeft w:val="0"/>
      <w:marRight w:val="0"/>
      <w:marTop w:val="0"/>
      <w:marBottom w:val="0"/>
      <w:divBdr>
        <w:top w:val="none" w:sz="0" w:space="0" w:color="auto"/>
        <w:left w:val="none" w:sz="0" w:space="0" w:color="auto"/>
        <w:bottom w:val="none" w:sz="0" w:space="0" w:color="auto"/>
        <w:right w:val="none" w:sz="0" w:space="0" w:color="auto"/>
      </w:divBdr>
      <w:divsChild>
        <w:div w:id="559100655">
          <w:marLeft w:val="0"/>
          <w:marRight w:val="0"/>
          <w:marTop w:val="0"/>
          <w:marBottom w:val="0"/>
          <w:divBdr>
            <w:top w:val="none" w:sz="0" w:space="0" w:color="auto"/>
            <w:left w:val="none" w:sz="0" w:space="0" w:color="auto"/>
            <w:bottom w:val="none" w:sz="0" w:space="0" w:color="auto"/>
            <w:right w:val="none" w:sz="0" w:space="0" w:color="auto"/>
          </w:divBdr>
          <w:divsChild>
            <w:div w:id="994138866">
              <w:marLeft w:val="0"/>
              <w:marRight w:val="0"/>
              <w:marTop w:val="0"/>
              <w:marBottom w:val="0"/>
              <w:divBdr>
                <w:top w:val="none" w:sz="0" w:space="0" w:color="auto"/>
                <w:left w:val="none" w:sz="0" w:space="0" w:color="auto"/>
                <w:bottom w:val="none" w:sz="0" w:space="0" w:color="auto"/>
                <w:right w:val="none" w:sz="0" w:space="0" w:color="auto"/>
              </w:divBdr>
              <w:divsChild>
                <w:div w:id="993680786">
                  <w:marLeft w:val="0"/>
                  <w:marRight w:val="0"/>
                  <w:marTop w:val="0"/>
                  <w:marBottom w:val="0"/>
                  <w:divBdr>
                    <w:top w:val="none" w:sz="0" w:space="0" w:color="auto"/>
                    <w:left w:val="none" w:sz="0" w:space="0" w:color="auto"/>
                    <w:bottom w:val="none" w:sz="0" w:space="0" w:color="auto"/>
                    <w:right w:val="none" w:sz="0" w:space="0" w:color="auto"/>
                  </w:divBdr>
                  <w:divsChild>
                    <w:div w:id="380179435">
                      <w:marLeft w:val="0"/>
                      <w:marRight w:val="0"/>
                      <w:marTop w:val="0"/>
                      <w:marBottom w:val="0"/>
                      <w:divBdr>
                        <w:top w:val="none" w:sz="0" w:space="0" w:color="auto"/>
                        <w:left w:val="none" w:sz="0" w:space="0" w:color="auto"/>
                        <w:bottom w:val="none" w:sz="0" w:space="0" w:color="auto"/>
                        <w:right w:val="none" w:sz="0" w:space="0" w:color="auto"/>
                      </w:divBdr>
                      <w:divsChild>
                        <w:div w:id="1773163126">
                          <w:marLeft w:val="0"/>
                          <w:marRight w:val="0"/>
                          <w:marTop w:val="0"/>
                          <w:marBottom w:val="0"/>
                          <w:divBdr>
                            <w:top w:val="none" w:sz="0" w:space="0" w:color="auto"/>
                            <w:left w:val="none" w:sz="0" w:space="0" w:color="auto"/>
                            <w:bottom w:val="none" w:sz="0" w:space="0" w:color="auto"/>
                            <w:right w:val="none" w:sz="0" w:space="0" w:color="auto"/>
                          </w:divBdr>
                          <w:divsChild>
                            <w:div w:id="984506648">
                              <w:marLeft w:val="0"/>
                              <w:marRight w:val="0"/>
                              <w:marTop w:val="0"/>
                              <w:marBottom w:val="0"/>
                              <w:divBdr>
                                <w:top w:val="none" w:sz="0" w:space="0" w:color="auto"/>
                                <w:left w:val="none" w:sz="0" w:space="0" w:color="auto"/>
                                <w:bottom w:val="none" w:sz="0" w:space="0" w:color="auto"/>
                                <w:right w:val="none" w:sz="0" w:space="0" w:color="auto"/>
                              </w:divBdr>
                              <w:divsChild>
                                <w:div w:id="605576053">
                                  <w:marLeft w:val="0"/>
                                  <w:marRight w:val="0"/>
                                  <w:marTop w:val="0"/>
                                  <w:marBottom w:val="0"/>
                                  <w:divBdr>
                                    <w:top w:val="none" w:sz="0" w:space="0" w:color="auto"/>
                                    <w:left w:val="none" w:sz="0" w:space="0" w:color="auto"/>
                                    <w:bottom w:val="none" w:sz="0" w:space="0" w:color="auto"/>
                                    <w:right w:val="none" w:sz="0" w:space="0" w:color="auto"/>
                                  </w:divBdr>
                                  <w:divsChild>
                                    <w:div w:id="19408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3695">
                      <w:marLeft w:val="0"/>
                      <w:marRight w:val="0"/>
                      <w:marTop w:val="0"/>
                      <w:marBottom w:val="0"/>
                      <w:divBdr>
                        <w:top w:val="none" w:sz="0" w:space="0" w:color="auto"/>
                        <w:left w:val="none" w:sz="0" w:space="0" w:color="auto"/>
                        <w:bottom w:val="none" w:sz="0" w:space="0" w:color="auto"/>
                        <w:right w:val="none" w:sz="0" w:space="0" w:color="auto"/>
                      </w:divBdr>
                      <w:divsChild>
                        <w:div w:id="6018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744048">
      <w:bodyDiv w:val="1"/>
      <w:marLeft w:val="0"/>
      <w:marRight w:val="0"/>
      <w:marTop w:val="0"/>
      <w:marBottom w:val="0"/>
      <w:divBdr>
        <w:top w:val="none" w:sz="0" w:space="0" w:color="auto"/>
        <w:left w:val="none" w:sz="0" w:space="0" w:color="auto"/>
        <w:bottom w:val="none" w:sz="0" w:space="0" w:color="auto"/>
        <w:right w:val="none" w:sz="0" w:space="0" w:color="auto"/>
      </w:divBdr>
    </w:div>
    <w:div w:id="668484574">
      <w:bodyDiv w:val="1"/>
      <w:marLeft w:val="0"/>
      <w:marRight w:val="0"/>
      <w:marTop w:val="0"/>
      <w:marBottom w:val="0"/>
      <w:divBdr>
        <w:top w:val="none" w:sz="0" w:space="0" w:color="auto"/>
        <w:left w:val="none" w:sz="0" w:space="0" w:color="auto"/>
        <w:bottom w:val="none" w:sz="0" w:space="0" w:color="auto"/>
        <w:right w:val="none" w:sz="0" w:space="0" w:color="auto"/>
      </w:divBdr>
      <w:divsChild>
        <w:div w:id="58674059">
          <w:marLeft w:val="0"/>
          <w:marRight w:val="0"/>
          <w:marTop w:val="0"/>
          <w:marBottom w:val="0"/>
          <w:divBdr>
            <w:top w:val="none" w:sz="0" w:space="0" w:color="auto"/>
            <w:left w:val="none" w:sz="0" w:space="0" w:color="auto"/>
            <w:bottom w:val="none" w:sz="0" w:space="0" w:color="auto"/>
            <w:right w:val="none" w:sz="0" w:space="0" w:color="auto"/>
          </w:divBdr>
          <w:divsChild>
            <w:div w:id="1938517046">
              <w:marLeft w:val="0"/>
              <w:marRight w:val="0"/>
              <w:marTop w:val="0"/>
              <w:marBottom w:val="0"/>
              <w:divBdr>
                <w:top w:val="none" w:sz="0" w:space="0" w:color="auto"/>
                <w:left w:val="none" w:sz="0" w:space="0" w:color="auto"/>
                <w:bottom w:val="none" w:sz="0" w:space="0" w:color="auto"/>
                <w:right w:val="none" w:sz="0" w:space="0" w:color="auto"/>
              </w:divBdr>
              <w:divsChild>
                <w:div w:id="720638393">
                  <w:marLeft w:val="0"/>
                  <w:marRight w:val="0"/>
                  <w:marTop w:val="0"/>
                  <w:marBottom w:val="0"/>
                  <w:divBdr>
                    <w:top w:val="none" w:sz="0" w:space="0" w:color="auto"/>
                    <w:left w:val="none" w:sz="0" w:space="0" w:color="auto"/>
                    <w:bottom w:val="none" w:sz="0" w:space="0" w:color="auto"/>
                    <w:right w:val="none" w:sz="0" w:space="0" w:color="auto"/>
                  </w:divBdr>
                  <w:divsChild>
                    <w:div w:id="1404181829">
                      <w:marLeft w:val="0"/>
                      <w:marRight w:val="0"/>
                      <w:marTop w:val="0"/>
                      <w:marBottom w:val="0"/>
                      <w:divBdr>
                        <w:top w:val="none" w:sz="0" w:space="0" w:color="auto"/>
                        <w:left w:val="none" w:sz="0" w:space="0" w:color="auto"/>
                        <w:bottom w:val="none" w:sz="0" w:space="0" w:color="auto"/>
                        <w:right w:val="none" w:sz="0" w:space="0" w:color="auto"/>
                      </w:divBdr>
                      <w:divsChild>
                        <w:div w:id="1254709446">
                          <w:marLeft w:val="0"/>
                          <w:marRight w:val="0"/>
                          <w:marTop w:val="0"/>
                          <w:marBottom w:val="0"/>
                          <w:divBdr>
                            <w:top w:val="none" w:sz="0" w:space="0" w:color="auto"/>
                            <w:left w:val="none" w:sz="0" w:space="0" w:color="auto"/>
                            <w:bottom w:val="none" w:sz="0" w:space="0" w:color="auto"/>
                            <w:right w:val="none" w:sz="0" w:space="0" w:color="auto"/>
                          </w:divBdr>
                          <w:divsChild>
                            <w:div w:id="1362587581">
                              <w:marLeft w:val="0"/>
                              <w:marRight w:val="0"/>
                              <w:marTop w:val="0"/>
                              <w:marBottom w:val="0"/>
                              <w:divBdr>
                                <w:top w:val="none" w:sz="0" w:space="0" w:color="auto"/>
                                <w:left w:val="none" w:sz="0" w:space="0" w:color="auto"/>
                                <w:bottom w:val="none" w:sz="0" w:space="0" w:color="auto"/>
                                <w:right w:val="none" w:sz="0" w:space="0" w:color="auto"/>
                              </w:divBdr>
                              <w:divsChild>
                                <w:div w:id="859199773">
                                  <w:marLeft w:val="0"/>
                                  <w:marRight w:val="0"/>
                                  <w:marTop w:val="0"/>
                                  <w:marBottom w:val="0"/>
                                  <w:divBdr>
                                    <w:top w:val="none" w:sz="0" w:space="0" w:color="auto"/>
                                    <w:left w:val="none" w:sz="0" w:space="0" w:color="auto"/>
                                    <w:bottom w:val="none" w:sz="0" w:space="0" w:color="auto"/>
                                    <w:right w:val="none" w:sz="0" w:space="0" w:color="auto"/>
                                  </w:divBdr>
                                  <w:divsChild>
                                    <w:div w:id="4341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6781">
                      <w:marLeft w:val="0"/>
                      <w:marRight w:val="0"/>
                      <w:marTop w:val="0"/>
                      <w:marBottom w:val="0"/>
                      <w:divBdr>
                        <w:top w:val="none" w:sz="0" w:space="0" w:color="auto"/>
                        <w:left w:val="none" w:sz="0" w:space="0" w:color="auto"/>
                        <w:bottom w:val="none" w:sz="0" w:space="0" w:color="auto"/>
                        <w:right w:val="none" w:sz="0" w:space="0" w:color="auto"/>
                      </w:divBdr>
                      <w:divsChild>
                        <w:div w:id="18661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70867">
      <w:bodyDiv w:val="1"/>
      <w:marLeft w:val="0"/>
      <w:marRight w:val="0"/>
      <w:marTop w:val="0"/>
      <w:marBottom w:val="0"/>
      <w:divBdr>
        <w:top w:val="none" w:sz="0" w:space="0" w:color="auto"/>
        <w:left w:val="none" w:sz="0" w:space="0" w:color="auto"/>
        <w:bottom w:val="none" w:sz="0" w:space="0" w:color="auto"/>
        <w:right w:val="none" w:sz="0" w:space="0" w:color="auto"/>
      </w:divBdr>
      <w:divsChild>
        <w:div w:id="105581347">
          <w:marLeft w:val="0"/>
          <w:marRight w:val="0"/>
          <w:marTop w:val="0"/>
          <w:marBottom w:val="0"/>
          <w:divBdr>
            <w:top w:val="none" w:sz="0" w:space="0" w:color="auto"/>
            <w:left w:val="none" w:sz="0" w:space="0" w:color="auto"/>
            <w:bottom w:val="none" w:sz="0" w:space="0" w:color="auto"/>
            <w:right w:val="none" w:sz="0" w:space="0" w:color="auto"/>
          </w:divBdr>
          <w:divsChild>
            <w:div w:id="703561590">
              <w:marLeft w:val="0"/>
              <w:marRight w:val="0"/>
              <w:marTop w:val="0"/>
              <w:marBottom w:val="0"/>
              <w:divBdr>
                <w:top w:val="none" w:sz="0" w:space="0" w:color="auto"/>
                <w:left w:val="none" w:sz="0" w:space="0" w:color="auto"/>
                <w:bottom w:val="none" w:sz="0" w:space="0" w:color="auto"/>
                <w:right w:val="none" w:sz="0" w:space="0" w:color="auto"/>
              </w:divBdr>
              <w:divsChild>
                <w:div w:id="1797142730">
                  <w:marLeft w:val="0"/>
                  <w:marRight w:val="0"/>
                  <w:marTop w:val="0"/>
                  <w:marBottom w:val="0"/>
                  <w:divBdr>
                    <w:top w:val="none" w:sz="0" w:space="0" w:color="auto"/>
                    <w:left w:val="none" w:sz="0" w:space="0" w:color="auto"/>
                    <w:bottom w:val="none" w:sz="0" w:space="0" w:color="auto"/>
                    <w:right w:val="none" w:sz="0" w:space="0" w:color="auto"/>
                  </w:divBdr>
                  <w:divsChild>
                    <w:div w:id="1071929176">
                      <w:marLeft w:val="0"/>
                      <w:marRight w:val="0"/>
                      <w:marTop w:val="0"/>
                      <w:marBottom w:val="0"/>
                      <w:divBdr>
                        <w:top w:val="none" w:sz="0" w:space="0" w:color="auto"/>
                        <w:left w:val="none" w:sz="0" w:space="0" w:color="auto"/>
                        <w:bottom w:val="none" w:sz="0" w:space="0" w:color="auto"/>
                        <w:right w:val="none" w:sz="0" w:space="0" w:color="auto"/>
                      </w:divBdr>
                      <w:divsChild>
                        <w:div w:id="1062483003">
                          <w:marLeft w:val="0"/>
                          <w:marRight w:val="0"/>
                          <w:marTop w:val="0"/>
                          <w:marBottom w:val="0"/>
                          <w:divBdr>
                            <w:top w:val="none" w:sz="0" w:space="0" w:color="auto"/>
                            <w:left w:val="none" w:sz="0" w:space="0" w:color="auto"/>
                            <w:bottom w:val="none" w:sz="0" w:space="0" w:color="auto"/>
                            <w:right w:val="none" w:sz="0" w:space="0" w:color="auto"/>
                          </w:divBdr>
                          <w:divsChild>
                            <w:div w:id="1585066389">
                              <w:marLeft w:val="0"/>
                              <w:marRight w:val="0"/>
                              <w:marTop w:val="0"/>
                              <w:marBottom w:val="0"/>
                              <w:divBdr>
                                <w:top w:val="none" w:sz="0" w:space="0" w:color="auto"/>
                                <w:left w:val="none" w:sz="0" w:space="0" w:color="auto"/>
                                <w:bottom w:val="none" w:sz="0" w:space="0" w:color="auto"/>
                                <w:right w:val="none" w:sz="0" w:space="0" w:color="auto"/>
                              </w:divBdr>
                              <w:divsChild>
                                <w:div w:id="1601521328">
                                  <w:marLeft w:val="0"/>
                                  <w:marRight w:val="0"/>
                                  <w:marTop w:val="0"/>
                                  <w:marBottom w:val="0"/>
                                  <w:divBdr>
                                    <w:top w:val="none" w:sz="0" w:space="0" w:color="auto"/>
                                    <w:left w:val="none" w:sz="0" w:space="0" w:color="auto"/>
                                    <w:bottom w:val="none" w:sz="0" w:space="0" w:color="auto"/>
                                    <w:right w:val="none" w:sz="0" w:space="0" w:color="auto"/>
                                  </w:divBdr>
                                  <w:divsChild>
                                    <w:div w:id="14815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414">
                      <w:marLeft w:val="0"/>
                      <w:marRight w:val="0"/>
                      <w:marTop w:val="0"/>
                      <w:marBottom w:val="0"/>
                      <w:divBdr>
                        <w:top w:val="none" w:sz="0" w:space="0" w:color="auto"/>
                        <w:left w:val="none" w:sz="0" w:space="0" w:color="auto"/>
                        <w:bottom w:val="none" w:sz="0" w:space="0" w:color="auto"/>
                        <w:right w:val="none" w:sz="0" w:space="0" w:color="auto"/>
                      </w:divBdr>
                      <w:divsChild>
                        <w:div w:id="15856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33790">
      <w:bodyDiv w:val="1"/>
      <w:marLeft w:val="0"/>
      <w:marRight w:val="0"/>
      <w:marTop w:val="0"/>
      <w:marBottom w:val="0"/>
      <w:divBdr>
        <w:top w:val="none" w:sz="0" w:space="0" w:color="auto"/>
        <w:left w:val="none" w:sz="0" w:space="0" w:color="auto"/>
        <w:bottom w:val="none" w:sz="0" w:space="0" w:color="auto"/>
        <w:right w:val="none" w:sz="0" w:space="0" w:color="auto"/>
      </w:divBdr>
    </w:div>
    <w:div w:id="1769230158">
      <w:bodyDiv w:val="1"/>
      <w:marLeft w:val="0"/>
      <w:marRight w:val="0"/>
      <w:marTop w:val="0"/>
      <w:marBottom w:val="0"/>
      <w:divBdr>
        <w:top w:val="none" w:sz="0" w:space="0" w:color="auto"/>
        <w:left w:val="none" w:sz="0" w:space="0" w:color="auto"/>
        <w:bottom w:val="none" w:sz="0" w:space="0" w:color="auto"/>
        <w:right w:val="none" w:sz="0" w:space="0" w:color="auto"/>
      </w:divBdr>
    </w:div>
    <w:div w:id="1857957604">
      <w:bodyDiv w:val="1"/>
      <w:marLeft w:val="0"/>
      <w:marRight w:val="0"/>
      <w:marTop w:val="0"/>
      <w:marBottom w:val="0"/>
      <w:divBdr>
        <w:top w:val="none" w:sz="0" w:space="0" w:color="auto"/>
        <w:left w:val="none" w:sz="0" w:space="0" w:color="auto"/>
        <w:bottom w:val="none" w:sz="0" w:space="0" w:color="auto"/>
        <w:right w:val="none" w:sz="0" w:space="0" w:color="auto"/>
      </w:divBdr>
      <w:divsChild>
        <w:div w:id="1367564951">
          <w:marLeft w:val="0"/>
          <w:marRight w:val="0"/>
          <w:marTop w:val="0"/>
          <w:marBottom w:val="0"/>
          <w:divBdr>
            <w:top w:val="none" w:sz="0" w:space="0" w:color="auto"/>
            <w:left w:val="none" w:sz="0" w:space="0" w:color="auto"/>
            <w:bottom w:val="none" w:sz="0" w:space="0" w:color="auto"/>
            <w:right w:val="none" w:sz="0" w:space="0" w:color="auto"/>
          </w:divBdr>
          <w:divsChild>
            <w:div w:id="416633540">
              <w:marLeft w:val="0"/>
              <w:marRight w:val="0"/>
              <w:marTop w:val="0"/>
              <w:marBottom w:val="0"/>
              <w:divBdr>
                <w:top w:val="none" w:sz="0" w:space="0" w:color="auto"/>
                <w:left w:val="none" w:sz="0" w:space="0" w:color="auto"/>
                <w:bottom w:val="none" w:sz="0" w:space="0" w:color="auto"/>
                <w:right w:val="none" w:sz="0" w:space="0" w:color="auto"/>
              </w:divBdr>
              <w:divsChild>
                <w:div w:id="1717465930">
                  <w:marLeft w:val="0"/>
                  <w:marRight w:val="0"/>
                  <w:marTop w:val="0"/>
                  <w:marBottom w:val="0"/>
                  <w:divBdr>
                    <w:top w:val="none" w:sz="0" w:space="0" w:color="auto"/>
                    <w:left w:val="none" w:sz="0" w:space="0" w:color="auto"/>
                    <w:bottom w:val="none" w:sz="0" w:space="0" w:color="auto"/>
                    <w:right w:val="none" w:sz="0" w:space="0" w:color="auto"/>
                  </w:divBdr>
                  <w:divsChild>
                    <w:div w:id="1824393397">
                      <w:marLeft w:val="0"/>
                      <w:marRight w:val="0"/>
                      <w:marTop w:val="0"/>
                      <w:marBottom w:val="0"/>
                      <w:divBdr>
                        <w:top w:val="none" w:sz="0" w:space="0" w:color="auto"/>
                        <w:left w:val="none" w:sz="0" w:space="0" w:color="auto"/>
                        <w:bottom w:val="none" w:sz="0" w:space="0" w:color="auto"/>
                        <w:right w:val="none" w:sz="0" w:space="0" w:color="auto"/>
                      </w:divBdr>
                      <w:divsChild>
                        <w:div w:id="888566595">
                          <w:marLeft w:val="0"/>
                          <w:marRight w:val="0"/>
                          <w:marTop w:val="0"/>
                          <w:marBottom w:val="0"/>
                          <w:divBdr>
                            <w:top w:val="none" w:sz="0" w:space="0" w:color="auto"/>
                            <w:left w:val="none" w:sz="0" w:space="0" w:color="auto"/>
                            <w:bottom w:val="none" w:sz="0" w:space="0" w:color="auto"/>
                            <w:right w:val="none" w:sz="0" w:space="0" w:color="auto"/>
                          </w:divBdr>
                          <w:divsChild>
                            <w:div w:id="952204134">
                              <w:marLeft w:val="0"/>
                              <w:marRight w:val="0"/>
                              <w:marTop w:val="0"/>
                              <w:marBottom w:val="0"/>
                              <w:divBdr>
                                <w:top w:val="none" w:sz="0" w:space="0" w:color="auto"/>
                                <w:left w:val="none" w:sz="0" w:space="0" w:color="auto"/>
                                <w:bottom w:val="none" w:sz="0" w:space="0" w:color="auto"/>
                                <w:right w:val="none" w:sz="0" w:space="0" w:color="auto"/>
                              </w:divBdr>
                              <w:divsChild>
                                <w:div w:id="1086224437">
                                  <w:marLeft w:val="0"/>
                                  <w:marRight w:val="0"/>
                                  <w:marTop w:val="0"/>
                                  <w:marBottom w:val="0"/>
                                  <w:divBdr>
                                    <w:top w:val="none" w:sz="0" w:space="0" w:color="auto"/>
                                    <w:left w:val="none" w:sz="0" w:space="0" w:color="auto"/>
                                    <w:bottom w:val="none" w:sz="0" w:space="0" w:color="auto"/>
                                    <w:right w:val="none" w:sz="0" w:space="0" w:color="auto"/>
                                  </w:divBdr>
                                  <w:divsChild>
                                    <w:div w:id="7786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9144">
                      <w:marLeft w:val="0"/>
                      <w:marRight w:val="0"/>
                      <w:marTop w:val="0"/>
                      <w:marBottom w:val="0"/>
                      <w:divBdr>
                        <w:top w:val="none" w:sz="0" w:space="0" w:color="auto"/>
                        <w:left w:val="none" w:sz="0" w:space="0" w:color="auto"/>
                        <w:bottom w:val="none" w:sz="0" w:space="0" w:color="auto"/>
                        <w:right w:val="none" w:sz="0" w:space="0" w:color="auto"/>
                      </w:divBdr>
                      <w:divsChild>
                        <w:div w:id="488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94775">
      <w:bodyDiv w:val="1"/>
      <w:marLeft w:val="0"/>
      <w:marRight w:val="0"/>
      <w:marTop w:val="0"/>
      <w:marBottom w:val="0"/>
      <w:divBdr>
        <w:top w:val="none" w:sz="0" w:space="0" w:color="auto"/>
        <w:left w:val="none" w:sz="0" w:space="0" w:color="auto"/>
        <w:bottom w:val="none" w:sz="0" w:space="0" w:color="auto"/>
        <w:right w:val="none" w:sz="0" w:space="0" w:color="auto"/>
      </w:divBdr>
    </w:div>
    <w:div w:id="1940940864">
      <w:bodyDiv w:val="1"/>
      <w:marLeft w:val="0"/>
      <w:marRight w:val="0"/>
      <w:marTop w:val="0"/>
      <w:marBottom w:val="0"/>
      <w:divBdr>
        <w:top w:val="none" w:sz="0" w:space="0" w:color="auto"/>
        <w:left w:val="none" w:sz="0" w:space="0" w:color="auto"/>
        <w:bottom w:val="none" w:sz="0" w:space="0" w:color="auto"/>
        <w:right w:val="none" w:sz="0" w:space="0" w:color="auto"/>
      </w:divBdr>
    </w:div>
    <w:div w:id="2017078325">
      <w:bodyDiv w:val="1"/>
      <w:marLeft w:val="0"/>
      <w:marRight w:val="0"/>
      <w:marTop w:val="0"/>
      <w:marBottom w:val="0"/>
      <w:divBdr>
        <w:top w:val="none" w:sz="0" w:space="0" w:color="auto"/>
        <w:left w:val="none" w:sz="0" w:space="0" w:color="auto"/>
        <w:bottom w:val="none" w:sz="0" w:space="0" w:color="auto"/>
        <w:right w:val="none" w:sz="0" w:space="0" w:color="auto"/>
      </w:divBdr>
    </w:div>
    <w:div w:id="2087534590">
      <w:bodyDiv w:val="1"/>
      <w:marLeft w:val="0"/>
      <w:marRight w:val="0"/>
      <w:marTop w:val="0"/>
      <w:marBottom w:val="0"/>
      <w:divBdr>
        <w:top w:val="none" w:sz="0" w:space="0" w:color="auto"/>
        <w:left w:val="none" w:sz="0" w:space="0" w:color="auto"/>
        <w:bottom w:val="none" w:sz="0" w:space="0" w:color="auto"/>
        <w:right w:val="none" w:sz="0" w:space="0" w:color="auto"/>
      </w:divBdr>
    </w:div>
    <w:div w:id="2104832561">
      <w:bodyDiv w:val="1"/>
      <w:marLeft w:val="0"/>
      <w:marRight w:val="0"/>
      <w:marTop w:val="0"/>
      <w:marBottom w:val="0"/>
      <w:divBdr>
        <w:top w:val="none" w:sz="0" w:space="0" w:color="auto"/>
        <w:left w:val="none" w:sz="0" w:space="0" w:color="auto"/>
        <w:bottom w:val="none" w:sz="0" w:space="0" w:color="auto"/>
        <w:right w:val="none" w:sz="0" w:space="0" w:color="auto"/>
      </w:divBdr>
    </w:div>
    <w:div w:id="21218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525A-A158-4419-81B7-5FC9557E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4356</Words>
  <Characters>23527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Galizia</dc:creator>
  <cp:keywords/>
  <dc:description/>
  <cp:lastModifiedBy>Silvina Galizia</cp:lastModifiedBy>
  <cp:revision>7</cp:revision>
  <dcterms:created xsi:type="dcterms:W3CDTF">2025-07-06T17:36:00Z</dcterms:created>
  <dcterms:modified xsi:type="dcterms:W3CDTF">2025-07-06T19:54:00Z</dcterms:modified>
</cp:coreProperties>
</file>