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F1BDA" w14:textId="77777777" w:rsidR="005C2CAA" w:rsidRDefault="00000000">
      <w:pPr>
        <w:spacing w:line="360" w:lineRule="auto"/>
        <w:jc w:val="center"/>
        <w:rPr>
          <w:sz w:val="24"/>
          <w:szCs w:val="24"/>
        </w:rPr>
      </w:pPr>
      <w:r>
        <w:rPr>
          <w:b/>
          <w:sz w:val="24"/>
          <w:szCs w:val="24"/>
        </w:rPr>
        <w:t xml:space="preserve">REPERCUSSÕES CAUSADAS NO TRABALHO FEMININO A PARTIR DA INSTALAÇÃO DO POLO INDUSTRIAL NO MUNICÍPIO BARCARENA-PA: </w:t>
      </w:r>
      <w:r>
        <w:rPr>
          <w:sz w:val="24"/>
          <w:szCs w:val="24"/>
        </w:rPr>
        <w:t>um olhar sobre o trabalho doméstico remunerado</w:t>
      </w:r>
    </w:p>
    <w:p w14:paraId="101C2B6D" w14:textId="77777777" w:rsidR="005C2CAA" w:rsidRDefault="005C2CAA">
      <w:pPr>
        <w:spacing w:line="360" w:lineRule="auto"/>
        <w:jc w:val="both"/>
        <w:rPr>
          <w:sz w:val="24"/>
          <w:szCs w:val="24"/>
        </w:rPr>
      </w:pPr>
    </w:p>
    <w:p w14:paraId="23BAB50A" w14:textId="77777777" w:rsidR="005C2CAA" w:rsidRDefault="00000000">
      <w:pPr>
        <w:spacing w:line="360" w:lineRule="auto"/>
        <w:jc w:val="right"/>
        <w:rPr>
          <w:sz w:val="24"/>
          <w:szCs w:val="24"/>
        </w:rPr>
      </w:pPr>
      <w:r>
        <w:rPr>
          <w:sz w:val="24"/>
          <w:szCs w:val="24"/>
        </w:rPr>
        <w:t>Cleice Santos Santos</w:t>
      </w:r>
      <w:r>
        <w:rPr>
          <w:sz w:val="24"/>
          <w:szCs w:val="24"/>
          <w:vertAlign w:val="superscript"/>
        </w:rPr>
        <w:footnoteReference w:id="1"/>
      </w:r>
    </w:p>
    <w:p w14:paraId="4CC00A91" w14:textId="77777777" w:rsidR="005C2CAA" w:rsidRDefault="00000000">
      <w:pPr>
        <w:jc w:val="right"/>
        <w:rPr>
          <w:b/>
          <w:sz w:val="24"/>
          <w:szCs w:val="24"/>
        </w:rPr>
      </w:pPr>
      <w:r>
        <w:rPr>
          <w:sz w:val="24"/>
          <w:szCs w:val="24"/>
        </w:rPr>
        <w:t>Francilene Soares de Medeiros Costa</w:t>
      </w:r>
      <w:r>
        <w:rPr>
          <w:sz w:val="24"/>
          <w:szCs w:val="24"/>
          <w:vertAlign w:val="superscript"/>
        </w:rPr>
        <w:footnoteReference w:id="2"/>
      </w:r>
    </w:p>
    <w:p w14:paraId="7E624918" w14:textId="77777777" w:rsidR="005C2CAA" w:rsidRDefault="005C2CAA">
      <w:pPr>
        <w:spacing w:line="240" w:lineRule="auto"/>
        <w:ind w:left="2835"/>
        <w:jc w:val="both"/>
        <w:rPr>
          <w:sz w:val="24"/>
          <w:szCs w:val="24"/>
        </w:rPr>
      </w:pPr>
    </w:p>
    <w:p w14:paraId="1B9B178E" w14:textId="77777777" w:rsidR="005C2CAA" w:rsidRDefault="00000000">
      <w:pPr>
        <w:spacing w:line="240" w:lineRule="auto"/>
        <w:ind w:left="2835"/>
        <w:jc w:val="both"/>
        <w:rPr>
          <w:sz w:val="20"/>
          <w:szCs w:val="20"/>
        </w:rPr>
      </w:pPr>
      <w:r>
        <w:rPr>
          <w:b/>
          <w:sz w:val="20"/>
          <w:szCs w:val="20"/>
        </w:rPr>
        <w:t>Resumo</w:t>
      </w:r>
    </w:p>
    <w:p w14:paraId="27E36367" w14:textId="77777777" w:rsidR="005C2CAA" w:rsidRDefault="00000000">
      <w:pPr>
        <w:spacing w:line="240" w:lineRule="auto"/>
        <w:ind w:left="2835"/>
        <w:jc w:val="both"/>
        <w:rPr>
          <w:sz w:val="20"/>
          <w:szCs w:val="20"/>
        </w:rPr>
      </w:pPr>
      <w:r>
        <w:rPr>
          <w:sz w:val="20"/>
          <w:szCs w:val="20"/>
        </w:rPr>
        <w:t xml:space="preserve">O artigo objetiva analisar os impactos da instalação do polo industrial no município de Barcarena-PA sobre o trabalho feminino, com ênfase no trabalho doméstico remunerado. A partir de uma abordagem </w:t>
      </w:r>
      <w:proofErr w:type="spellStart"/>
      <w:r>
        <w:rPr>
          <w:sz w:val="20"/>
          <w:szCs w:val="20"/>
        </w:rPr>
        <w:t>quali-quantitativa</w:t>
      </w:r>
      <w:proofErr w:type="spellEnd"/>
      <w:r>
        <w:rPr>
          <w:sz w:val="20"/>
          <w:szCs w:val="20"/>
        </w:rPr>
        <w:t>, a pesquisa se baseia em levantamento bibliográfico e documental e dados estatísticos. O estudo revela como o trabalho doméstico, historicamente desvalorizado e marcado por traços coloniais e patriarcais, tornou-se uma das principais formas de inserção feminina no mercado local. Evidencia-se que o processo de industrialização aprofundou desigualdades de gênero, classe e raça, relegando as mulheres, especialmente negras, a ocupações precárias e informais. O cenário do trabalho doméstico remunerado em Barcarena demonstra a persistência da informalidade, baixos salários e ausência de direitos trabalhistas, além de destacar a feminização do desemprego e a exploração do trabalho infantil doméstico. O estudo propõe a necessidade de políticas públicas, programas e/ou projetos específicos para enfrentar a invisibilidade e precarização dessas trabalhadoras.</w:t>
      </w:r>
    </w:p>
    <w:p w14:paraId="59691E77" w14:textId="77777777" w:rsidR="005C2CAA" w:rsidRDefault="00000000">
      <w:pPr>
        <w:spacing w:line="240" w:lineRule="auto"/>
        <w:ind w:left="2835"/>
        <w:jc w:val="both"/>
        <w:rPr>
          <w:sz w:val="20"/>
          <w:szCs w:val="20"/>
        </w:rPr>
      </w:pPr>
      <w:r>
        <w:rPr>
          <w:b/>
          <w:sz w:val="20"/>
          <w:szCs w:val="20"/>
        </w:rPr>
        <w:t>Palavras-chave</w:t>
      </w:r>
      <w:r>
        <w:rPr>
          <w:sz w:val="20"/>
          <w:szCs w:val="20"/>
        </w:rPr>
        <w:t>: Trabalho doméstico remunerado; Barcarena; Exploração; Desigualdade; Reprodução.</w:t>
      </w:r>
    </w:p>
    <w:p w14:paraId="30C28FFA" w14:textId="77777777" w:rsidR="005C2CAA" w:rsidRDefault="005C2CAA">
      <w:pPr>
        <w:spacing w:line="240" w:lineRule="auto"/>
        <w:ind w:left="2835"/>
        <w:jc w:val="both"/>
        <w:rPr>
          <w:sz w:val="20"/>
          <w:szCs w:val="20"/>
        </w:rPr>
      </w:pPr>
    </w:p>
    <w:p w14:paraId="331A2E02" w14:textId="77777777" w:rsidR="005C2CAA" w:rsidRDefault="00000000">
      <w:pPr>
        <w:spacing w:line="240" w:lineRule="auto"/>
        <w:ind w:left="2835"/>
        <w:jc w:val="both"/>
        <w:rPr>
          <w:sz w:val="20"/>
          <w:szCs w:val="20"/>
        </w:rPr>
      </w:pPr>
      <w:proofErr w:type="spellStart"/>
      <w:r>
        <w:rPr>
          <w:b/>
          <w:sz w:val="20"/>
          <w:szCs w:val="20"/>
        </w:rPr>
        <w:t>Abstract</w:t>
      </w:r>
      <w:proofErr w:type="spellEnd"/>
    </w:p>
    <w:p w14:paraId="0E63C172" w14:textId="77777777" w:rsidR="005C2CAA" w:rsidRDefault="00000000">
      <w:pPr>
        <w:spacing w:line="240" w:lineRule="auto"/>
        <w:ind w:left="2835"/>
        <w:jc w:val="both"/>
        <w:rPr>
          <w:sz w:val="20"/>
          <w:szCs w:val="20"/>
        </w:rPr>
      </w:pPr>
      <w:r>
        <w:rPr>
          <w:sz w:val="20"/>
          <w:szCs w:val="20"/>
        </w:rPr>
        <w:t xml:space="preserve">This </w:t>
      </w:r>
      <w:proofErr w:type="spellStart"/>
      <w:r>
        <w:rPr>
          <w:sz w:val="20"/>
          <w:szCs w:val="20"/>
        </w:rPr>
        <w:t>article</w:t>
      </w:r>
      <w:proofErr w:type="spellEnd"/>
      <w:r>
        <w:rPr>
          <w:sz w:val="20"/>
          <w:szCs w:val="20"/>
        </w:rPr>
        <w:t xml:space="preserve"> </w:t>
      </w:r>
      <w:proofErr w:type="spellStart"/>
      <w:r>
        <w:rPr>
          <w:sz w:val="20"/>
          <w:szCs w:val="20"/>
        </w:rPr>
        <w:t>aims</w:t>
      </w:r>
      <w:proofErr w:type="spellEnd"/>
      <w:r>
        <w:rPr>
          <w:sz w:val="20"/>
          <w:szCs w:val="20"/>
        </w:rPr>
        <w:t xml:space="preserve"> to </w:t>
      </w:r>
      <w:proofErr w:type="spellStart"/>
      <w:r>
        <w:rPr>
          <w:sz w:val="20"/>
          <w:szCs w:val="20"/>
        </w:rPr>
        <w:t>analyze</w:t>
      </w:r>
      <w:proofErr w:type="spellEnd"/>
      <w:r>
        <w:rPr>
          <w:sz w:val="20"/>
          <w:szCs w:val="20"/>
        </w:rPr>
        <w:t xml:space="preserve"> the </w:t>
      </w:r>
      <w:proofErr w:type="spellStart"/>
      <w:r>
        <w:rPr>
          <w:sz w:val="20"/>
          <w:szCs w:val="20"/>
        </w:rPr>
        <w:t>impacts</w:t>
      </w:r>
      <w:proofErr w:type="spellEnd"/>
      <w:r>
        <w:rPr>
          <w:sz w:val="20"/>
          <w:szCs w:val="20"/>
        </w:rPr>
        <w:t xml:space="preserve"> of the establishment of the industrial hub in the </w:t>
      </w:r>
      <w:proofErr w:type="spellStart"/>
      <w:r>
        <w:rPr>
          <w:sz w:val="20"/>
          <w:szCs w:val="20"/>
        </w:rPr>
        <w:t>municipality</w:t>
      </w:r>
      <w:proofErr w:type="spellEnd"/>
      <w:r>
        <w:rPr>
          <w:sz w:val="20"/>
          <w:szCs w:val="20"/>
        </w:rPr>
        <w:t xml:space="preserve"> of Barcarena-PA on </w:t>
      </w:r>
      <w:proofErr w:type="spellStart"/>
      <w:r>
        <w:rPr>
          <w:sz w:val="20"/>
          <w:szCs w:val="20"/>
        </w:rPr>
        <w:t>women’s</w:t>
      </w:r>
      <w:proofErr w:type="spellEnd"/>
      <w:r>
        <w:rPr>
          <w:sz w:val="20"/>
          <w:szCs w:val="20"/>
        </w:rPr>
        <w:t xml:space="preserve"> labor, with an </w:t>
      </w:r>
      <w:proofErr w:type="spellStart"/>
      <w:r>
        <w:rPr>
          <w:sz w:val="20"/>
          <w:szCs w:val="20"/>
        </w:rPr>
        <w:t>emphasis</w:t>
      </w:r>
      <w:proofErr w:type="spellEnd"/>
      <w:r>
        <w:rPr>
          <w:sz w:val="20"/>
          <w:szCs w:val="20"/>
        </w:rPr>
        <w:t xml:space="preserve"> on </w:t>
      </w:r>
      <w:proofErr w:type="spellStart"/>
      <w:r>
        <w:rPr>
          <w:sz w:val="20"/>
          <w:szCs w:val="20"/>
        </w:rPr>
        <w:t>paid</w:t>
      </w:r>
      <w:proofErr w:type="spellEnd"/>
      <w:r>
        <w:rPr>
          <w:sz w:val="20"/>
          <w:szCs w:val="20"/>
        </w:rPr>
        <w:t xml:space="preserve"> </w:t>
      </w:r>
      <w:proofErr w:type="spellStart"/>
      <w:r>
        <w:rPr>
          <w:sz w:val="20"/>
          <w:szCs w:val="20"/>
        </w:rPr>
        <w:t>domestic</w:t>
      </w:r>
      <w:proofErr w:type="spellEnd"/>
      <w:r>
        <w:rPr>
          <w:sz w:val="20"/>
          <w:szCs w:val="20"/>
        </w:rPr>
        <w:t xml:space="preserve"> </w:t>
      </w:r>
      <w:proofErr w:type="spellStart"/>
      <w:r>
        <w:rPr>
          <w:sz w:val="20"/>
          <w:szCs w:val="20"/>
        </w:rPr>
        <w:t>work</w:t>
      </w:r>
      <w:proofErr w:type="spellEnd"/>
      <w:r>
        <w:rPr>
          <w:sz w:val="20"/>
          <w:szCs w:val="20"/>
        </w:rPr>
        <w:t xml:space="preserve">. Using a </w:t>
      </w:r>
      <w:proofErr w:type="spellStart"/>
      <w:r>
        <w:rPr>
          <w:sz w:val="20"/>
          <w:szCs w:val="20"/>
        </w:rPr>
        <w:t>qualitative-quantitative</w:t>
      </w:r>
      <w:proofErr w:type="spellEnd"/>
      <w:r>
        <w:rPr>
          <w:sz w:val="20"/>
          <w:szCs w:val="20"/>
        </w:rPr>
        <w:t xml:space="preserve"> </w:t>
      </w:r>
      <w:proofErr w:type="spellStart"/>
      <w:r>
        <w:rPr>
          <w:sz w:val="20"/>
          <w:szCs w:val="20"/>
        </w:rPr>
        <w:t>approach</w:t>
      </w:r>
      <w:proofErr w:type="spellEnd"/>
      <w:r>
        <w:rPr>
          <w:sz w:val="20"/>
          <w:szCs w:val="20"/>
        </w:rPr>
        <w:t xml:space="preserve">, the research is </w:t>
      </w:r>
      <w:proofErr w:type="spellStart"/>
      <w:r>
        <w:rPr>
          <w:sz w:val="20"/>
          <w:szCs w:val="20"/>
        </w:rPr>
        <w:t>based</w:t>
      </w:r>
      <w:proofErr w:type="spellEnd"/>
      <w:r>
        <w:rPr>
          <w:sz w:val="20"/>
          <w:szCs w:val="20"/>
        </w:rPr>
        <w:t xml:space="preserve"> on </w:t>
      </w:r>
      <w:proofErr w:type="spellStart"/>
      <w:r>
        <w:rPr>
          <w:sz w:val="20"/>
          <w:szCs w:val="20"/>
        </w:rPr>
        <w:t>bibliographic</w:t>
      </w:r>
      <w:proofErr w:type="spellEnd"/>
      <w:r>
        <w:rPr>
          <w:sz w:val="20"/>
          <w:szCs w:val="20"/>
        </w:rPr>
        <w:t xml:space="preserve"> and </w:t>
      </w:r>
      <w:proofErr w:type="spellStart"/>
      <w:r>
        <w:rPr>
          <w:sz w:val="20"/>
          <w:szCs w:val="20"/>
        </w:rPr>
        <w:t>documentary</w:t>
      </w:r>
      <w:proofErr w:type="spellEnd"/>
      <w:r>
        <w:rPr>
          <w:sz w:val="20"/>
          <w:szCs w:val="20"/>
        </w:rPr>
        <w:t xml:space="preserve"> review as well as </w:t>
      </w:r>
      <w:proofErr w:type="spellStart"/>
      <w:r>
        <w:rPr>
          <w:sz w:val="20"/>
          <w:szCs w:val="20"/>
        </w:rPr>
        <w:t>statistical</w:t>
      </w:r>
      <w:proofErr w:type="spellEnd"/>
      <w:r>
        <w:rPr>
          <w:sz w:val="20"/>
          <w:szCs w:val="20"/>
        </w:rPr>
        <w:t xml:space="preserve"> data. The </w:t>
      </w:r>
      <w:proofErr w:type="spellStart"/>
      <w:r>
        <w:rPr>
          <w:sz w:val="20"/>
          <w:szCs w:val="20"/>
        </w:rPr>
        <w:t>study</w:t>
      </w:r>
      <w:proofErr w:type="spellEnd"/>
      <w:r>
        <w:rPr>
          <w:sz w:val="20"/>
          <w:szCs w:val="20"/>
        </w:rPr>
        <w:t xml:space="preserve"> </w:t>
      </w:r>
      <w:proofErr w:type="spellStart"/>
      <w:r>
        <w:rPr>
          <w:sz w:val="20"/>
          <w:szCs w:val="20"/>
        </w:rPr>
        <w:t>reveals</w:t>
      </w:r>
      <w:proofErr w:type="spellEnd"/>
      <w:r>
        <w:rPr>
          <w:sz w:val="20"/>
          <w:szCs w:val="20"/>
        </w:rPr>
        <w:t xml:space="preserve"> how </w:t>
      </w:r>
      <w:proofErr w:type="spellStart"/>
      <w:r>
        <w:rPr>
          <w:sz w:val="20"/>
          <w:szCs w:val="20"/>
        </w:rPr>
        <w:t>domestic</w:t>
      </w:r>
      <w:proofErr w:type="spellEnd"/>
      <w:r>
        <w:rPr>
          <w:sz w:val="20"/>
          <w:szCs w:val="20"/>
        </w:rPr>
        <w:t xml:space="preserve"> </w:t>
      </w:r>
      <w:proofErr w:type="spellStart"/>
      <w:r>
        <w:rPr>
          <w:sz w:val="20"/>
          <w:szCs w:val="20"/>
        </w:rPr>
        <w:t>work</w:t>
      </w:r>
      <w:proofErr w:type="spellEnd"/>
      <w:r>
        <w:rPr>
          <w:sz w:val="20"/>
          <w:szCs w:val="20"/>
        </w:rPr>
        <w:t>—</w:t>
      </w:r>
      <w:proofErr w:type="spellStart"/>
      <w:r>
        <w:rPr>
          <w:sz w:val="20"/>
          <w:szCs w:val="20"/>
        </w:rPr>
        <w:t>historically</w:t>
      </w:r>
      <w:proofErr w:type="spellEnd"/>
      <w:r>
        <w:rPr>
          <w:sz w:val="20"/>
          <w:szCs w:val="20"/>
        </w:rPr>
        <w:t xml:space="preserve"> </w:t>
      </w:r>
      <w:proofErr w:type="spellStart"/>
      <w:r>
        <w:rPr>
          <w:sz w:val="20"/>
          <w:szCs w:val="20"/>
        </w:rPr>
        <w:t>devalued</w:t>
      </w:r>
      <w:proofErr w:type="spellEnd"/>
      <w:r>
        <w:rPr>
          <w:sz w:val="20"/>
          <w:szCs w:val="20"/>
        </w:rPr>
        <w:t xml:space="preserve"> and </w:t>
      </w:r>
      <w:proofErr w:type="spellStart"/>
      <w:r>
        <w:rPr>
          <w:sz w:val="20"/>
          <w:szCs w:val="20"/>
        </w:rPr>
        <w:t>marked</w:t>
      </w:r>
      <w:proofErr w:type="spellEnd"/>
      <w:r>
        <w:rPr>
          <w:sz w:val="20"/>
          <w:szCs w:val="20"/>
        </w:rPr>
        <w:t xml:space="preserve"> by colonial and </w:t>
      </w:r>
      <w:proofErr w:type="spellStart"/>
      <w:r>
        <w:rPr>
          <w:sz w:val="20"/>
          <w:szCs w:val="20"/>
        </w:rPr>
        <w:t>patriarchal</w:t>
      </w:r>
      <w:proofErr w:type="spellEnd"/>
      <w:r>
        <w:rPr>
          <w:sz w:val="20"/>
          <w:szCs w:val="20"/>
        </w:rPr>
        <w:t xml:space="preserve"> </w:t>
      </w:r>
      <w:proofErr w:type="spellStart"/>
      <w:r>
        <w:rPr>
          <w:sz w:val="20"/>
          <w:szCs w:val="20"/>
        </w:rPr>
        <w:t>traits</w:t>
      </w:r>
      <w:proofErr w:type="spellEnd"/>
      <w:r>
        <w:rPr>
          <w:sz w:val="20"/>
          <w:szCs w:val="20"/>
        </w:rPr>
        <w:t>—</w:t>
      </w:r>
      <w:proofErr w:type="spellStart"/>
      <w:r>
        <w:rPr>
          <w:sz w:val="20"/>
          <w:szCs w:val="20"/>
        </w:rPr>
        <w:t>has</w:t>
      </w:r>
      <w:proofErr w:type="spellEnd"/>
      <w:r>
        <w:rPr>
          <w:sz w:val="20"/>
          <w:szCs w:val="20"/>
        </w:rPr>
        <w:t xml:space="preserve"> </w:t>
      </w:r>
      <w:proofErr w:type="spellStart"/>
      <w:r>
        <w:rPr>
          <w:sz w:val="20"/>
          <w:szCs w:val="20"/>
        </w:rPr>
        <w:t>become</w:t>
      </w:r>
      <w:proofErr w:type="spellEnd"/>
      <w:r>
        <w:rPr>
          <w:sz w:val="20"/>
          <w:szCs w:val="20"/>
        </w:rPr>
        <w:t xml:space="preserve"> one of the main </w:t>
      </w:r>
      <w:proofErr w:type="spellStart"/>
      <w:r>
        <w:rPr>
          <w:sz w:val="20"/>
          <w:szCs w:val="20"/>
        </w:rPr>
        <w:t>forms</w:t>
      </w:r>
      <w:proofErr w:type="spellEnd"/>
      <w:r>
        <w:rPr>
          <w:sz w:val="20"/>
          <w:szCs w:val="20"/>
        </w:rPr>
        <w:t xml:space="preserve"> of </w:t>
      </w:r>
      <w:proofErr w:type="spellStart"/>
      <w:r>
        <w:rPr>
          <w:sz w:val="20"/>
          <w:szCs w:val="20"/>
        </w:rPr>
        <w:t>female</w:t>
      </w:r>
      <w:proofErr w:type="spellEnd"/>
      <w:r>
        <w:rPr>
          <w:sz w:val="20"/>
          <w:szCs w:val="20"/>
        </w:rPr>
        <w:t xml:space="preserve"> </w:t>
      </w:r>
      <w:proofErr w:type="spellStart"/>
      <w:r>
        <w:rPr>
          <w:sz w:val="20"/>
          <w:szCs w:val="20"/>
        </w:rPr>
        <w:t>insertion</w:t>
      </w:r>
      <w:proofErr w:type="spellEnd"/>
      <w:r>
        <w:rPr>
          <w:sz w:val="20"/>
          <w:szCs w:val="20"/>
        </w:rPr>
        <w:t xml:space="preserve"> </w:t>
      </w:r>
      <w:proofErr w:type="spellStart"/>
      <w:r>
        <w:rPr>
          <w:sz w:val="20"/>
          <w:szCs w:val="20"/>
        </w:rPr>
        <w:t>into</w:t>
      </w:r>
      <w:proofErr w:type="spellEnd"/>
      <w:r>
        <w:rPr>
          <w:sz w:val="20"/>
          <w:szCs w:val="20"/>
        </w:rPr>
        <w:t xml:space="preserve"> the local labor </w:t>
      </w:r>
      <w:proofErr w:type="spellStart"/>
      <w:r>
        <w:rPr>
          <w:sz w:val="20"/>
          <w:szCs w:val="20"/>
        </w:rPr>
        <w:t>market</w:t>
      </w:r>
      <w:proofErr w:type="spellEnd"/>
      <w:r>
        <w:rPr>
          <w:sz w:val="20"/>
          <w:szCs w:val="20"/>
        </w:rPr>
        <w:t xml:space="preserve">. It highlights how the </w:t>
      </w:r>
      <w:proofErr w:type="spellStart"/>
      <w:r>
        <w:rPr>
          <w:sz w:val="20"/>
          <w:szCs w:val="20"/>
        </w:rPr>
        <w:t>industrialization</w:t>
      </w:r>
      <w:proofErr w:type="spellEnd"/>
      <w:r>
        <w:rPr>
          <w:sz w:val="20"/>
          <w:szCs w:val="20"/>
        </w:rPr>
        <w:t xml:space="preserve"> </w:t>
      </w:r>
      <w:proofErr w:type="spellStart"/>
      <w:r>
        <w:rPr>
          <w:sz w:val="20"/>
          <w:szCs w:val="20"/>
        </w:rPr>
        <w:t>process</w:t>
      </w:r>
      <w:proofErr w:type="spellEnd"/>
      <w:r>
        <w:rPr>
          <w:sz w:val="20"/>
          <w:szCs w:val="20"/>
        </w:rPr>
        <w:t xml:space="preserve"> </w:t>
      </w:r>
      <w:proofErr w:type="spellStart"/>
      <w:r>
        <w:rPr>
          <w:sz w:val="20"/>
          <w:szCs w:val="20"/>
        </w:rPr>
        <w:t>has</w:t>
      </w:r>
      <w:proofErr w:type="spellEnd"/>
      <w:r>
        <w:rPr>
          <w:sz w:val="20"/>
          <w:szCs w:val="20"/>
        </w:rPr>
        <w:t xml:space="preserve"> </w:t>
      </w:r>
      <w:proofErr w:type="spellStart"/>
      <w:r>
        <w:rPr>
          <w:sz w:val="20"/>
          <w:szCs w:val="20"/>
        </w:rPr>
        <w:t>deepened</w:t>
      </w:r>
      <w:proofErr w:type="spellEnd"/>
      <w:r>
        <w:rPr>
          <w:sz w:val="20"/>
          <w:szCs w:val="20"/>
        </w:rPr>
        <w:t xml:space="preserve"> </w:t>
      </w:r>
      <w:proofErr w:type="spellStart"/>
      <w:r>
        <w:rPr>
          <w:sz w:val="20"/>
          <w:szCs w:val="20"/>
        </w:rPr>
        <w:t>gender</w:t>
      </w:r>
      <w:proofErr w:type="spellEnd"/>
      <w:r>
        <w:rPr>
          <w:sz w:val="20"/>
          <w:szCs w:val="20"/>
        </w:rPr>
        <w:t xml:space="preserve">, class, and racial </w:t>
      </w:r>
      <w:proofErr w:type="spellStart"/>
      <w:r>
        <w:rPr>
          <w:sz w:val="20"/>
          <w:szCs w:val="20"/>
        </w:rPr>
        <w:lastRenderedPageBreak/>
        <w:t>inequalities</w:t>
      </w:r>
      <w:proofErr w:type="spellEnd"/>
      <w:r>
        <w:rPr>
          <w:sz w:val="20"/>
          <w:szCs w:val="20"/>
        </w:rPr>
        <w:t xml:space="preserve">, </w:t>
      </w:r>
      <w:proofErr w:type="spellStart"/>
      <w:r>
        <w:rPr>
          <w:sz w:val="20"/>
          <w:szCs w:val="20"/>
        </w:rPr>
        <w:t>relegating</w:t>
      </w:r>
      <w:proofErr w:type="spellEnd"/>
      <w:r>
        <w:rPr>
          <w:sz w:val="20"/>
          <w:szCs w:val="20"/>
        </w:rPr>
        <w:t xml:space="preserve"> </w:t>
      </w:r>
      <w:proofErr w:type="spellStart"/>
      <w:r>
        <w:rPr>
          <w:sz w:val="20"/>
          <w:szCs w:val="20"/>
        </w:rPr>
        <w:t>women</w:t>
      </w:r>
      <w:proofErr w:type="spellEnd"/>
      <w:r>
        <w:rPr>
          <w:sz w:val="20"/>
          <w:szCs w:val="20"/>
        </w:rPr>
        <w:t xml:space="preserve">, </w:t>
      </w:r>
      <w:proofErr w:type="spellStart"/>
      <w:r>
        <w:rPr>
          <w:sz w:val="20"/>
          <w:szCs w:val="20"/>
        </w:rPr>
        <w:t>especially</w:t>
      </w:r>
      <w:proofErr w:type="spellEnd"/>
      <w:r>
        <w:rPr>
          <w:sz w:val="20"/>
          <w:szCs w:val="20"/>
        </w:rPr>
        <w:t xml:space="preserve"> Black </w:t>
      </w:r>
      <w:proofErr w:type="spellStart"/>
      <w:r>
        <w:rPr>
          <w:sz w:val="20"/>
          <w:szCs w:val="20"/>
        </w:rPr>
        <w:t>women</w:t>
      </w:r>
      <w:proofErr w:type="spellEnd"/>
      <w:r>
        <w:rPr>
          <w:sz w:val="20"/>
          <w:szCs w:val="20"/>
        </w:rPr>
        <w:t xml:space="preserve">, to </w:t>
      </w:r>
      <w:proofErr w:type="spellStart"/>
      <w:r>
        <w:rPr>
          <w:sz w:val="20"/>
          <w:szCs w:val="20"/>
        </w:rPr>
        <w:t>precarious</w:t>
      </w:r>
      <w:proofErr w:type="spellEnd"/>
      <w:r>
        <w:rPr>
          <w:sz w:val="20"/>
          <w:szCs w:val="20"/>
        </w:rPr>
        <w:t xml:space="preserve"> and informal </w:t>
      </w:r>
      <w:proofErr w:type="spellStart"/>
      <w:r>
        <w:rPr>
          <w:sz w:val="20"/>
          <w:szCs w:val="20"/>
        </w:rPr>
        <w:t>occupations</w:t>
      </w:r>
      <w:proofErr w:type="spellEnd"/>
      <w:r>
        <w:rPr>
          <w:sz w:val="20"/>
          <w:szCs w:val="20"/>
        </w:rPr>
        <w:t xml:space="preserve">. The </w:t>
      </w:r>
      <w:proofErr w:type="spellStart"/>
      <w:r>
        <w:rPr>
          <w:sz w:val="20"/>
          <w:szCs w:val="20"/>
        </w:rPr>
        <w:t>scenario</w:t>
      </w:r>
      <w:proofErr w:type="spellEnd"/>
      <w:r>
        <w:rPr>
          <w:sz w:val="20"/>
          <w:szCs w:val="20"/>
        </w:rPr>
        <w:t xml:space="preserve"> of </w:t>
      </w:r>
      <w:proofErr w:type="spellStart"/>
      <w:r>
        <w:rPr>
          <w:sz w:val="20"/>
          <w:szCs w:val="20"/>
        </w:rPr>
        <w:t>paid</w:t>
      </w:r>
      <w:proofErr w:type="spellEnd"/>
      <w:r>
        <w:rPr>
          <w:sz w:val="20"/>
          <w:szCs w:val="20"/>
        </w:rPr>
        <w:t xml:space="preserve"> </w:t>
      </w:r>
      <w:proofErr w:type="spellStart"/>
      <w:r>
        <w:rPr>
          <w:sz w:val="20"/>
          <w:szCs w:val="20"/>
        </w:rPr>
        <w:t>domestic</w:t>
      </w:r>
      <w:proofErr w:type="spellEnd"/>
      <w:r>
        <w:rPr>
          <w:sz w:val="20"/>
          <w:szCs w:val="20"/>
        </w:rPr>
        <w:t xml:space="preserve"> </w:t>
      </w:r>
      <w:proofErr w:type="spellStart"/>
      <w:r>
        <w:rPr>
          <w:sz w:val="20"/>
          <w:szCs w:val="20"/>
        </w:rPr>
        <w:t>work</w:t>
      </w:r>
      <w:proofErr w:type="spellEnd"/>
      <w:r>
        <w:rPr>
          <w:sz w:val="20"/>
          <w:szCs w:val="20"/>
        </w:rPr>
        <w:t xml:space="preserve"> in Barcarena </w:t>
      </w:r>
      <w:proofErr w:type="spellStart"/>
      <w:r>
        <w:rPr>
          <w:sz w:val="20"/>
          <w:szCs w:val="20"/>
        </w:rPr>
        <w:t>demonstrates</w:t>
      </w:r>
      <w:proofErr w:type="spellEnd"/>
      <w:r>
        <w:rPr>
          <w:sz w:val="20"/>
          <w:szCs w:val="20"/>
        </w:rPr>
        <w:t xml:space="preserve"> the </w:t>
      </w:r>
      <w:proofErr w:type="spellStart"/>
      <w:r>
        <w:rPr>
          <w:sz w:val="20"/>
          <w:szCs w:val="20"/>
        </w:rPr>
        <w:t>persistence</w:t>
      </w:r>
      <w:proofErr w:type="spellEnd"/>
      <w:r>
        <w:rPr>
          <w:sz w:val="20"/>
          <w:szCs w:val="20"/>
        </w:rPr>
        <w:t xml:space="preserve"> of </w:t>
      </w:r>
      <w:proofErr w:type="spellStart"/>
      <w:r>
        <w:rPr>
          <w:sz w:val="20"/>
          <w:szCs w:val="20"/>
        </w:rPr>
        <w:t>informality</w:t>
      </w:r>
      <w:proofErr w:type="spellEnd"/>
      <w:r>
        <w:rPr>
          <w:sz w:val="20"/>
          <w:szCs w:val="20"/>
        </w:rPr>
        <w:t xml:space="preserve">, </w:t>
      </w:r>
      <w:proofErr w:type="spellStart"/>
      <w:r>
        <w:rPr>
          <w:sz w:val="20"/>
          <w:szCs w:val="20"/>
        </w:rPr>
        <w:t>low</w:t>
      </w:r>
      <w:proofErr w:type="spellEnd"/>
      <w:r>
        <w:rPr>
          <w:sz w:val="20"/>
          <w:szCs w:val="20"/>
        </w:rPr>
        <w:t xml:space="preserve"> </w:t>
      </w:r>
      <w:proofErr w:type="spellStart"/>
      <w:r>
        <w:rPr>
          <w:sz w:val="20"/>
          <w:szCs w:val="20"/>
        </w:rPr>
        <w:t>wages</w:t>
      </w:r>
      <w:proofErr w:type="spellEnd"/>
      <w:r>
        <w:rPr>
          <w:sz w:val="20"/>
          <w:szCs w:val="20"/>
        </w:rPr>
        <w:t xml:space="preserve">, and </w:t>
      </w:r>
      <w:proofErr w:type="spellStart"/>
      <w:r>
        <w:rPr>
          <w:sz w:val="20"/>
          <w:szCs w:val="20"/>
        </w:rPr>
        <w:t>lack</w:t>
      </w:r>
      <w:proofErr w:type="spellEnd"/>
      <w:r>
        <w:rPr>
          <w:sz w:val="20"/>
          <w:szCs w:val="20"/>
        </w:rPr>
        <w:t xml:space="preserve"> of labor </w:t>
      </w:r>
      <w:proofErr w:type="spellStart"/>
      <w:r>
        <w:rPr>
          <w:sz w:val="20"/>
          <w:szCs w:val="20"/>
        </w:rPr>
        <w:t>rights</w:t>
      </w:r>
      <w:proofErr w:type="spellEnd"/>
      <w:r>
        <w:rPr>
          <w:sz w:val="20"/>
          <w:szCs w:val="20"/>
        </w:rPr>
        <w:t xml:space="preserve">, while </w:t>
      </w:r>
      <w:proofErr w:type="spellStart"/>
      <w:r>
        <w:rPr>
          <w:sz w:val="20"/>
          <w:szCs w:val="20"/>
        </w:rPr>
        <w:t>also</w:t>
      </w:r>
      <w:proofErr w:type="spellEnd"/>
      <w:r>
        <w:rPr>
          <w:sz w:val="20"/>
          <w:szCs w:val="20"/>
        </w:rPr>
        <w:t xml:space="preserve"> </w:t>
      </w:r>
      <w:proofErr w:type="spellStart"/>
      <w:r>
        <w:rPr>
          <w:sz w:val="20"/>
          <w:szCs w:val="20"/>
        </w:rPr>
        <w:t>emphasizing</w:t>
      </w:r>
      <w:proofErr w:type="spellEnd"/>
      <w:r>
        <w:rPr>
          <w:sz w:val="20"/>
          <w:szCs w:val="20"/>
        </w:rPr>
        <w:t xml:space="preserve"> the </w:t>
      </w:r>
      <w:proofErr w:type="spellStart"/>
      <w:r>
        <w:rPr>
          <w:sz w:val="20"/>
          <w:szCs w:val="20"/>
        </w:rPr>
        <w:t>feminization</w:t>
      </w:r>
      <w:proofErr w:type="spellEnd"/>
      <w:r>
        <w:rPr>
          <w:sz w:val="20"/>
          <w:szCs w:val="20"/>
        </w:rPr>
        <w:t xml:space="preserve"> of </w:t>
      </w:r>
      <w:proofErr w:type="spellStart"/>
      <w:r>
        <w:rPr>
          <w:sz w:val="20"/>
          <w:szCs w:val="20"/>
        </w:rPr>
        <w:t>unemployment</w:t>
      </w:r>
      <w:proofErr w:type="spellEnd"/>
      <w:r>
        <w:rPr>
          <w:sz w:val="20"/>
          <w:szCs w:val="20"/>
        </w:rPr>
        <w:t xml:space="preserve"> and the </w:t>
      </w:r>
      <w:proofErr w:type="spellStart"/>
      <w:r>
        <w:rPr>
          <w:sz w:val="20"/>
          <w:szCs w:val="20"/>
        </w:rPr>
        <w:t>exploitation</w:t>
      </w:r>
      <w:proofErr w:type="spellEnd"/>
      <w:r>
        <w:rPr>
          <w:sz w:val="20"/>
          <w:szCs w:val="20"/>
        </w:rPr>
        <w:t xml:space="preserve"> of </w:t>
      </w:r>
      <w:proofErr w:type="spellStart"/>
      <w:r>
        <w:rPr>
          <w:sz w:val="20"/>
          <w:szCs w:val="20"/>
        </w:rPr>
        <w:t>child</w:t>
      </w:r>
      <w:proofErr w:type="spellEnd"/>
      <w:r>
        <w:rPr>
          <w:sz w:val="20"/>
          <w:szCs w:val="20"/>
        </w:rPr>
        <w:t xml:space="preserve"> </w:t>
      </w:r>
      <w:proofErr w:type="spellStart"/>
      <w:r>
        <w:rPr>
          <w:sz w:val="20"/>
          <w:szCs w:val="20"/>
        </w:rPr>
        <w:t>domestic</w:t>
      </w:r>
      <w:proofErr w:type="spellEnd"/>
      <w:r>
        <w:rPr>
          <w:sz w:val="20"/>
          <w:szCs w:val="20"/>
        </w:rPr>
        <w:t xml:space="preserve"> labor. The </w:t>
      </w:r>
      <w:proofErr w:type="spellStart"/>
      <w:r>
        <w:rPr>
          <w:sz w:val="20"/>
          <w:szCs w:val="20"/>
        </w:rPr>
        <w:t>study</w:t>
      </w:r>
      <w:proofErr w:type="spellEnd"/>
      <w:r>
        <w:rPr>
          <w:sz w:val="20"/>
          <w:szCs w:val="20"/>
        </w:rPr>
        <w:t xml:space="preserve"> </w:t>
      </w:r>
      <w:proofErr w:type="spellStart"/>
      <w:r>
        <w:rPr>
          <w:sz w:val="20"/>
          <w:szCs w:val="20"/>
        </w:rPr>
        <w:t>underscores</w:t>
      </w:r>
      <w:proofErr w:type="spellEnd"/>
      <w:r>
        <w:rPr>
          <w:sz w:val="20"/>
          <w:szCs w:val="20"/>
        </w:rPr>
        <w:t xml:space="preserve"> the </w:t>
      </w:r>
      <w:proofErr w:type="spellStart"/>
      <w:r>
        <w:rPr>
          <w:sz w:val="20"/>
          <w:szCs w:val="20"/>
        </w:rPr>
        <w:t>need</w:t>
      </w:r>
      <w:proofErr w:type="spellEnd"/>
      <w:r>
        <w:rPr>
          <w:sz w:val="20"/>
          <w:szCs w:val="20"/>
        </w:rPr>
        <w:t xml:space="preserve"> for public policies, programs, and/or </w:t>
      </w:r>
      <w:proofErr w:type="spellStart"/>
      <w:r>
        <w:rPr>
          <w:sz w:val="20"/>
          <w:szCs w:val="20"/>
        </w:rPr>
        <w:t>specific</w:t>
      </w:r>
      <w:proofErr w:type="spellEnd"/>
      <w:r>
        <w:rPr>
          <w:sz w:val="20"/>
          <w:szCs w:val="20"/>
        </w:rPr>
        <w:t xml:space="preserve"> </w:t>
      </w:r>
      <w:proofErr w:type="spellStart"/>
      <w:r>
        <w:rPr>
          <w:sz w:val="20"/>
          <w:szCs w:val="20"/>
        </w:rPr>
        <w:t>projects</w:t>
      </w:r>
      <w:proofErr w:type="spellEnd"/>
      <w:r>
        <w:rPr>
          <w:sz w:val="20"/>
          <w:szCs w:val="20"/>
        </w:rPr>
        <w:t xml:space="preserve"> to </w:t>
      </w:r>
      <w:proofErr w:type="spellStart"/>
      <w:r>
        <w:rPr>
          <w:sz w:val="20"/>
          <w:szCs w:val="20"/>
        </w:rPr>
        <w:t>address</w:t>
      </w:r>
      <w:proofErr w:type="spellEnd"/>
      <w:r>
        <w:rPr>
          <w:sz w:val="20"/>
          <w:szCs w:val="20"/>
        </w:rPr>
        <w:t xml:space="preserve"> the </w:t>
      </w:r>
      <w:proofErr w:type="spellStart"/>
      <w:r>
        <w:rPr>
          <w:sz w:val="20"/>
          <w:szCs w:val="20"/>
        </w:rPr>
        <w:t>invisibility</w:t>
      </w:r>
      <w:proofErr w:type="spellEnd"/>
      <w:r>
        <w:rPr>
          <w:sz w:val="20"/>
          <w:szCs w:val="20"/>
        </w:rPr>
        <w:t xml:space="preserve"> and </w:t>
      </w:r>
      <w:proofErr w:type="spellStart"/>
      <w:r>
        <w:rPr>
          <w:sz w:val="20"/>
          <w:szCs w:val="20"/>
        </w:rPr>
        <w:t>precarization</w:t>
      </w:r>
      <w:proofErr w:type="spellEnd"/>
      <w:r>
        <w:rPr>
          <w:sz w:val="20"/>
          <w:szCs w:val="20"/>
        </w:rPr>
        <w:t xml:space="preserve"> of </w:t>
      </w:r>
      <w:proofErr w:type="spellStart"/>
      <w:r>
        <w:rPr>
          <w:sz w:val="20"/>
          <w:szCs w:val="20"/>
        </w:rPr>
        <w:t>these</w:t>
      </w:r>
      <w:proofErr w:type="spellEnd"/>
      <w:r>
        <w:rPr>
          <w:sz w:val="20"/>
          <w:szCs w:val="20"/>
        </w:rPr>
        <w:t xml:space="preserve"> </w:t>
      </w:r>
      <w:proofErr w:type="spellStart"/>
      <w:r>
        <w:rPr>
          <w:sz w:val="20"/>
          <w:szCs w:val="20"/>
        </w:rPr>
        <w:t>workers</w:t>
      </w:r>
      <w:proofErr w:type="spellEnd"/>
      <w:r>
        <w:rPr>
          <w:sz w:val="20"/>
          <w:szCs w:val="20"/>
        </w:rPr>
        <w:t>.</w:t>
      </w:r>
    </w:p>
    <w:p w14:paraId="2400E72A" w14:textId="77777777" w:rsidR="005C2CAA" w:rsidRDefault="00000000">
      <w:pPr>
        <w:spacing w:line="240" w:lineRule="auto"/>
        <w:ind w:left="2835"/>
        <w:jc w:val="both"/>
        <w:rPr>
          <w:sz w:val="20"/>
          <w:szCs w:val="20"/>
        </w:rPr>
      </w:pPr>
      <w:proofErr w:type="spellStart"/>
      <w:r>
        <w:rPr>
          <w:b/>
          <w:sz w:val="20"/>
          <w:szCs w:val="20"/>
        </w:rPr>
        <w:t>Keywords</w:t>
      </w:r>
      <w:proofErr w:type="spellEnd"/>
      <w:r>
        <w:rPr>
          <w:sz w:val="20"/>
          <w:szCs w:val="20"/>
        </w:rPr>
        <w:t xml:space="preserve">: </w:t>
      </w:r>
      <w:proofErr w:type="spellStart"/>
      <w:r>
        <w:rPr>
          <w:sz w:val="20"/>
          <w:szCs w:val="20"/>
        </w:rPr>
        <w:t>Paid</w:t>
      </w:r>
      <w:proofErr w:type="spellEnd"/>
      <w:r>
        <w:rPr>
          <w:sz w:val="20"/>
          <w:szCs w:val="20"/>
        </w:rPr>
        <w:t xml:space="preserve"> </w:t>
      </w:r>
      <w:proofErr w:type="spellStart"/>
      <w:r>
        <w:rPr>
          <w:sz w:val="20"/>
          <w:szCs w:val="20"/>
        </w:rPr>
        <w:t>domestic</w:t>
      </w:r>
      <w:proofErr w:type="spellEnd"/>
      <w:r>
        <w:rPr>
          <w:sz w:val="20"/>
          <w:szCs w:val="20"/>
        </w:rPr>
        <w:t xml:space="preserve"> </w:t>
      </w:r>
      <w:proofErr w:type="spellStart"/>
      <w:r>
        <w:rPr>
          <w:sz w:val="20"/>
          <w:szCs w:val="20"/>
        </w:rPr>
        <w:t>work</w:t>
      </w:r>
      <w:proofErr w:type="spellEnd"/>
      <w:r>
        <w:rPr>
          <w:sz w:val="20"/>
          <w:szCs w:val="20"/>
        </w:rPr>
        <w:t xml:space="preserve">; Barcarena; </w:t>
      </w:r>
      <w:proofErr w:type="spellStart"/>
      <w:r>
        <w:rPr>
          <w:sz w:val="20"/>
          <w:szCs w:val="20"/>
        </w:rPr>
        <w:t>Exploitation</w:t>
      </w:r>
      <w:proofErr w:type="spellEnd"/>
      <w:r>
        <w:rPr>
          <w:sz w:val="20"/>
          <w:szCs w:val="20"/>
        </w:rPr>
        <w:t xml:space="preserve">; </w:t>
      </w:r>
      <w:proofErr w:type="spellStart"/>
      <w:r>
        <w:rPr>
          <w:sz w:val="20"/>
          <w:szCs w:val="20"/>
        </w:rPr>
        <w:t>Inequality</w:t>
      </w:r>
      <w:proofErr w:type="spellEnd"/>
      <w:r>
        <w:rPr>
          <w:sz w:val="20"/>
          <w:szCs w:val="20"/>
        </w:rPr>
        <w:t xml:space="preserve">; </w:t>
      </w:r>
      <w:proofErr w:type="spellStart"/>
      <w:r>
        <w:rPr>
          <w:sz w:val="20"/>
          <w:szCs w:val="20"/>
        </w:rPr>
        <w:t>Reproduction</w:t>
      </w:r>
      <w:proofErr w:type="spellEnd"/>
      <w:r>
        <w:rPr>
          <w:sz w:val="20"/>
          <w:szCs w:val="20"/>
        </w:rPr>
        <w:t>.</w:t>
      </w:r>
    </w:p>
    <w:p w14:paraId="51B10B4D" w14:textId="77777777" w:rsidR="005C2CAA" w:rsidRDefault="005C2CAA">
      <w:pPr>
        <w:spacing w:line="360" w:lineRule="auto"/>
        <w:jc w:val="both"/>
        <w:rPr>
          <w:sz w:val="24"/>
          <w:szCs w:val="24"/>
        </w:rPr>
      </w:pPr>
    </w:p>
    <w:p w14:paraId="100B6909" w14:textId="77777777" w:rsidR="005C2CAA" w:rsidRDefault="00000000">
      <w:pPr>
        <w:spacing w:line="360" w:lineRule="auto"/>
        <w:jc w:val="both"/>
        <w:rPr>
          <w:sz w:val="24"/>
          <w:szCs w:val="24"/>
        </w:rPr>
      </w:pPr>
      <w:r>
        <w:rPr>
          <w:b/>
          <w:sz w:val="24"/>
          <w:szCs w:val="24"/>
        </w:rPr>
        <w:t>1 INTRODUÇÃO</w:t>
      </w:r>
    </w:p>
    <w:p w14:paraId="20C92C81" w14:textId="77777777" w:rsidR="005C2CAA" w:rsidRDefault="005C2CAA">
      <w:pPr>
        <w:spacing w:line="360" w:lineRule="auto"/>
        <w:jc w:val="both"/>
        <w:rPr>
          <w:sz w:val="24"/>
          <w:szCs w:val="24"/>
        </w:rPr>
      </w:pPr>
    </w:p>
    <w:p w14:paraId="60BD071C" w14:textId="77777777" w:rsidR="005C2CAA" w:rsidRDefault="00000000">
      <w:pPr>
        <w:spacing w:line="360" w:lineRule="auto"/>
        <w:ind w:firstLine="720"/>
        <w:jc w:val="both"/>
        <w:rPr>
          <w:sz w:val="24"/>
          <w:szCs w:val="24"/>
        </w:rPr>
      </w:pPr>
      <w:r>
        <w:rPr>
          <w:sz w:val="24"/>
          <w:szCs w:val="24"/>
        </w:rPr>
        <w:t xml:space="preserve">O trabalho desempenhado por mulheres na região amazônica, onde grandes projetos mineradores se instalam, como no município de Barcarena-PA, é circunscrito pela divisão sexual do trabalho. Isto é, o trabalho realizado por mulheres, seja este remunerado ou não, é marcado pela perpetuação das relações sociais baseadas no sexo biológico do indivíduo, gerando desigualdades de cunho social, político e econômico. </w:t>
      </w:r>
    </w:p>
    <w:p w14:paraId="4EC6AA7E" w14:textId="77777777" w:rsidR="005C2CAA" w:rsidRDefault="00000000">
      <w:pPr>
        <w:spacing w:line="360" w:lineRule="auto"/>
        <w:ind w:firstLine="720"/>
        <w:jc w:val="both"/>
        <w:rPr>
          <w:sz w:val="24"/>
          <w:szCs w:val="24"/>
        </w:rPr>
      </w:pPr>
      <w:r>
        <w:rPr>
          <w:sz w:val="24"/>
          <w:szCs w:val="24"/>
        </w:rPr>
        <w:t xml:space="preserve">O impacto da entrada de empresas extrativistas e de transformação no município em questão geraram efeitos negativos à natureza, devido aos crimes ambientais; na organização social da população nativa, já que muitas famílias foram desapropriadas de suas terras; e no mundo do trabalho, pois a população local ocupava-se majoritariamente de atividades de subsistência e comércio local. </w:t>
      </w:r>
    </w:p>
    <w:p w14:paraId="36877E23" w14:textId="77777777" w:rsidR="005C2CAA" w:rsidRDefault="00000000">
      <w:pPr>
        <w:spacing w:line="360" w:lineRule="auto"/>
        <w:ind w:firstLine="720"/>
        <w:jc w:val="both"/>
        <w:rPr>
          <w:sz w:val="24"/>
          <w:szCs w:val="24"/>
        </w:rPr>
      </w:pPr>
      <w:r>
        <w:rPr>
          <w:sz w:val="24"/>
          <w:szCs w:val="24"/>
        </w:rPr>
        <w:t xml:space="preserve">Em meio às mudanças ocorridas no trabalho, destacam-se as mudanças na esfera do trabalho feminino, especificamente o trabalho doméstico, uma vez que a desvalorização deste é intensificado nesse processo. Este trabalho envolve “[…] tarefas de limpeza, cozinha e manutenção geral da casa, podendo incluir atividades de cuidado pessoal[…]” (Araujo; </w:t>
      </w:r>
      <w:proofErr w:type="spellStart"/>
      <w:r>
        <w:rPr>
          <w:sz w:val="24"/>
          <w:szCs w:val="24"/>
        </w:rPr>
        <w:t>Monticelli</w:t>
      </w:r>
      <w:proofErr w:type="spellEnd"/>
      <w:r>
        <w:rPr>
          <w:sz w:val="24"/>
          <w:szCs w:val="24"/>
        </w:rPr>
        <w:t xml:space="preserve">; </w:t>
      </w:r>
      <w:proofErr w:type="spellStart"/>
      <w:r>
        <w:rPr>
          <w:sz w:val="24"/>
          <w:szCs w:val="24"/>
        </w:rPr>
        <w:t>Acciari</w:t>
      </w:r>
      <w:proofErr w:type="spellEnd"/>
      <w:r>
        <w:rPr>
          <w:sz w:val="24"/>
          <w:szCs w:val="24"/>
        </w:rPr>
        <w:t>, 2021). Logo, a importância dele se dá por ser um dos pilares da reprodução social, ao passo que mantém e gera força de trabalho.</w:t>
      </w:r>
    </w:p>
    <w:p w14:paraId="06FEE0CE" w14:textId="77777777" w:rsidR="005C2CAA" w:rsidRDefault="00000000">
      <w:pPr>
        <w:spacing w:line="360" w:lineRule="auto"/>
        <w:ind w:firstLine="720"/>
        <w:jc w:val="both"/>
        <w:rPr>
          <w:sz w:val="24"/>
          <w:szCs w:val="24"/>
        </w:rPr>
      </w:pPr>
      <w:r>
        <w:rPr>
          <w:sz w:val="24"/>
          <w:szCs w:val="24"/>
        </w:rPr>
        <w:t xml:space="preserve">Dito isto, o referido artigo objetiva discutir o impacto causado na organização social a partir da implementação do polo industrial no município de Barcarena-PA e </w:t>
      </w:r>
      <w:r>
        <w:rPr>
          <w:sz w:val="24"/>
          <w:szCs w:val="24"/>
        </w:rPr>
        <w:lastRenderedPageBreak/>
        <w:t>sua repercussão no trabalho feminino, especialmente no que tange ao trabalho doméstico remunerado.</w:t>
      </w:r>
    </w:p>
    <w:p w14:paraId="7B02FB60" w14:textId="77777777" w:rsidR="005C2CAA" w:rsidRDefault="00000000">
      <w:pPr>
        <w:spacing w:line="360" w:lineRule="auto"/>
        <w:ind w:firstLine="720"/>
        <w:jc w:val="both"/>
        <w:rPr>
          <w:sz w:val="24"/>
          <w:szCs w:val="24"/>
        </w:rPr>
      </w:pPr>
      <w:r>
        <w:rPr>
          <w:sz w:val="24"/>
          <w:szCs w:val="24"/>
        </w:rPr>
        <w:t>O percurso metodológico baseia-se em dados de origem secundária. Utilizou-se levantamento bibliográfico e documental acerca do tema e dados quantitativos de quatro fontes, sendo elas: a Pesquisa Nacional por Amostra de Domicílios Contínua (PNAD Contínua), o Instituto Brasileiro de Geografia e Estatística (IBGE), Fundação Amazônia Paraense de Amparo a Estudos e Pesquisas (</w:t>
      </w:r>
      <w:proofErr w:type="spellStart"/>
      <w:r>
        <w:rPr>
          <w:sz w:val="24"/>
          <w:szCs w:val="24"/>
        </w:rPr>
        <w:t>FAPESPA</w:t>
      </w:r>
      <w:proofErr w:type="spellEnd"/>
      <w:r>
        <w:rPr>
          <w:sz w:val="24"/>
          <w:szCs w:val="24"/>
        </w:rPr>
        <w:t xml:space="preserve">) e </w:t>
      </w:r>
      <w:proofErr w:type="spellStart"/>
      <w:r>
        <w:rPr>
          <w:sz w:val="24"/>
          <w:szCs w:val="24"/>
        </w:rPr>
        <w:t>SAGICAD</w:t>
      </w:r>
      <w:proofErr w:type="spellEnd"/>
      <w:r>
        <w:rPr>
          <w:sz w:val="24"/>
          <w:szCs w:val="24"/>
        </w:rPr>
        <w:t xml:space="preserve"> (Secretaria de Avaliação, Gestão da Informação e Cadastro Único) dos anos de 2010, 2020 e 2022. </w:t>
      </w:r>
    </w:p>
    <w:p w14:paraId="3C728916" w14:textId="77777777" w:rsidR="005C2CAA" w:rsidRDefault="00000000">
      <w:pPr>
        <w:spacing w:line="360" w:lineRule="auto"/>
        <w:ind w:firstLine="720"/>
        <w:jc w:val="both"/>
        <w:rPr>
          <w:sz w:val="24"/>
          <w:szCs w:val="24"/>
        </w:rPr>
      </w:pPr>
      <w:r>
        <w:rPr>
          <w:sz w:val="24"/>
          <w:szCs w:val="24"/>
        </w:rPr>
        <w:t>As discussões presentes neste artigo estão organizadas em 5 seções. A primeira indica um panorama do trabalho doméstico no Brasil, considerando a suas raízes históricas; A segunda aborda a questão do trabalho doméstico em Barcarena antes e durante a formação do polo industrial; A terceira apresenta o cenário atual das condições de trabalho e vida das trabalhadoras domésticas em Barcarena; A quarta seção trata-se das considerações finais, na qual apresenta as principais conclusões e sintetiza as reflexões levantados no artigo. Por fim, a seção final lista as referências e fontes utilizadas na composição do trabalho.</w:t>
      </w:r>
    </w:p>
    <w:p w14:paraId="1101EA89" w14:textId="77777777" w:rsidR="005C2CAA" w:rsidRDefault="005C2CAA">
      <w:pPr>
        <w:spacing w:line="360" w:lineRule="auto"/>
        <w:ind w:left="2268"/>
        <w:jc w:val="both"/>
        <w:rPr>
          <w:sz w:val="24"/>
          <w:szCs w:val="24"/>
          <w:shd w:val="clear" w:color="auto" w:fill="FCE5CD"/>
        </w:rPr>
      </w:pPr>
    </w:p>
    <w:p w14:paraId="118F3F92" w14:textId="77777777" w:rsidR="005C2CAA" w:rsidRDefault="00000000">
      <w:pPr>
        <w:spacing w:line="360" w:lineRule="auto"/>
        <w:jc w:val="both"/>
        <w:rPr>
          <w:b/>
          <w:sz w:val="24"/>
          <w:szCs w:val="24"/>
        </w:rPr>
      </w:pPr>
      <w:r>
        <w:rPr>
          <w:b/>
          <w:sz w:val="24"/>
          <w:szCs w:val="24"/>
        </w:rPr>
        <w:t>2 ASPECTOS HISTÓRICOS DO TRABALHO DOMÉSTICO REMUNERADO NO BRASIL</w:t>
      </w:r>
    </w:p>
    <w:p w14:paraId="3F86878D" w14:textId="77777777" w:rsidR="005C2CAA" w:rsidRDefault="005C2CAA">
      <w:pPr>
        <w:spacing w:line="360" w:lineRule="auto"/>
        <w:jc w:val="both"/>
        <w:rPr>
          <w:b/>
          <w:sz w:val="24"/>
          <w:szCs w:val="24"/>
        </w:rPr>
      </w:pPr>
    </w:p>
    <w:p w14:paraId="270AF8F3" w14:textId="77777777" w:rsidR="005C2CAA" w:rsidRDefault="00000000">
      <w:pPr>
        <w:spacing w:line="360" w:lineRule="auto"/>
        <w:ind w:firstLine="720"/>
        <w:jc w:val="both"/>
        <w:rPr>
          <w:sz w:val="24"/>
          <w:szCs w:val="24"/>
        </w:rPr>
      </w:pPr>
      <w:r>
        <w:rPr>
          <w:sz w:val="24"/>
          <w:szCs w:val="24"/>
        </w:rPr>
        <w:t xml:space="preserve">O trabalho doméstico brasileiro, seja este remunerado ou não, é caracterizado pela presença </w:t>
      </w:r>
      <w:proofErr w:type="spellStart"/>
      <w:r>
        <w:rPr>
          <w:sz w:val="24"/>
          <w:szCs w:val="24"/>
        </w:rPr>
        <w:t>massiva</w:t>
      </w:r>
      <w:proofErr w:type="spellEnd"/>
      <w:r>
        <w:rPr>
          <w:sz w:val="24"/>
          <w:szCs w:val="24"/>
        </w:rPr>
        <w:t xml:space="preserve"> de mulheres, sobretudo as negras (pretas e pardas). No ano de 2022, dados apontavam que o trabalho doméstico remunerado no país contava com aproximadamente 5,8 milhões de pessoas, sendo 91,4% dessa categoria ocupada por mulheres, das quais 67,3% são negras, e 60,4% das trabalhadoras recebem mais de ½ salário mínimo (PNAD Contínua, 2022).</w:t>
      </w:r>
    </w:p>
    <w:p w14:paraId="6AFD5C1D" w14:textId="77777777" w:rsidR="005C2CAA" w:rsidRDefault="00000000">
      <w:pPr>
        <w:spacing w:line="360" w:lineRule="auto"/>
        <w:ind w:firstLine="720"/>
        <w:jc w:val="both"/>
        <w:rPr>
          <w:sz w:val="24"/>
          <w:szCs w:val="24"/>
        </w:rPr>
      </w:pPr>
      <w:r>
        <w:rPr>
          <w:sz w:val="24"/>
          <w:szCs w:val="24"/>
        </w:rPr>
        <w:t xml:space="preserve">De acordo com Kergoat (2003), o trabalho doméstico se caracteriza pela acentuada presença feminina nos serviços prestados. Esse padrão se concretiza em </w:t>
      </w:r>
      <w:r>
        <w:rPr>
          <w:sz w:val="24"/>
          <w:szCs w:val="24"/>
        </w:rPr>
        <w:lastRenderedPageBreak/>
        <w:t>função da naturalização da capacidade feminina atribuída ao trabalho reprodutivo realizado no âmbito privativo do lar, a qual as mulheres foram submetidas historicamente como forma de controle de seus corpos.</w:t>
      </w:r>
    </w:p>
    <w:p w14:paraId="14C3BC93" w14:textId="77777777" w:rsidR="005C2CAA" w:rsidRDefault="00000000">
      <w:pPr>
        <w:spacing w:line="360" w:lineRule="auto"/>
        <w:ind w:firstLine="720"/>
        <w:jc w:val="both"/>
        <w:rPr>
          <w:sz w:val="24"/>
          <w:szCs w:val="24"/>
        </w:rPr>
      </w:pPr>
      <w:r>
        <w:rPr>
          <w:sz w:val="24"/>
          <w:szCs w:val="24"/>
        </w:rPr>
        <w:t>Outrossim, os dados sobre raça evidenciam a necessidade de um rápido olhar sobre a história da formação brasileira. Retornando ao período colonial, a presença das mucamas ou amas de leite era comum e parte da lógica escravocrata. Estas mulheres, pretas, imigrantes e escravizadas, cuidavam dos lares dos senhores e também das crianças. Não havia remuneração para estes serviços; a troca não era mediada por salários e sim pela possibilidade de sobreviver em condições insalubres.</w:t>
      </w:r>
    </w:p>
    <w:p w14:paraId="3426066E" w14:textId="77777777" w:rsidR="005C2CAA" w:rsidRDefault="00000000">
      <w:pPr>
        <w:spacing w:line="360" w:lineRule="auto"/>
        <w:ind w:firstLine="720"/>
        <w:jc w:val="both"/>
        <w:rPr>
          <w:sz w:val="24"/>
          <w:szCs w:val="24"/>
        </w:rPr>
      </w:pPr>
      <w:r>
        <w:rPr>
          <w:sz w:val="24"/>
          <w:szCs w:val="24"/>
        </w:rPr>
        <w:t xml:space="preserve">Após a abolição da escravidão em 1888, não havia um planejamento de como seriam remanejadas as pessoas escravizadas durante toda a sua vida até o momento de sua libertação. Esse fato implicou na continuidade dos trabalhos já realizados pelas mucamas nas casas dos senhores mesmo após a liberdade, afinal, era uma forma de sobrevivência; a continuidade da prestação de seus serviços de cuidados domésticos era o preço a ser pago por comida e moradia. </w:t>
      </w:r>
    </w:p>
    <w:p w14:paraId="31D17830" w14:textId="77777777" w:rsidR="005C2CAA" w:rsidRDefault="00000000">
      <w:pPr>
        <w:spacing w:line="360" w:lineRule="auto"/>
        <w:ind w:firstLine="720"/>
        <w:jc w:val="both"/>
        <w:rPr>
          <w:sz w:val="24"/>
          <w:szCs w:val="24"/>
        </w:rPr>
      </w:pPr>
      <w:r>
        <w:rPr>
          <w:sz w:val="24"/>
          <w:szCs w:val="24"/>
        </w:rPr>
        <w:t xml:space="preserve">Assim, compreende-se que a colonização do Brasil deixou rastros na história e cultura até hoje </w:t>
      </w:r>
      <w:proofErr w:type="spellStart"/>
      <w:r>
        <w:rPr>
          <w:sz w:val="24"/>
          <w:szCs w:val="24"/>
        </w:rPr>
        <w:t>experienciados</w:t>
      </w:r>
      <w:proofErr w:type="spellEnd"/>
      <w:r>
        <w:rPr>
          <w:sz w:val="24"/>
          <w:szCs w:val="24"/>
        </w:rPr>
        <w:t xml:space="preserve">. No que tange ao trabalho doméstico, as marcas de subalternidade e servilismo (Costa; Santos; Rodrigues, 2022) perpassam a trajetória da categoria de trabalhadoras domésticas remuneradas como estratégia de inviabilizar e desvalorizar a sua importância para a manutenção e reprodução da sociedade. </w:t>
      </w:r>
    </w:p>
    <w:p w14:paraId="4BFC9531" w14:textId="77777777" w:rsidR="005C2CAA" w:rsidRDefault="00000000">
      <w:pPr>
        <w:spacing w:line="360" w:lineRule="auto"/>
        <w:ind w:firstLine="720"/>
        <w:jc w:val="both"/>
        <w:rPr>
          <w:sz w:val="24"/>
          <w:szCs w:val="24"/>
        </w:rPr>
      </w:pPr>
      <w:r>
        <w:rPr>
          <w:sz w:val="24"/>
          <w:szCs w:val="24"/>
        </w:rPr>
        <w:t xml:space="preserve">Outro aspecto deste trabalho é o processo histórico e lento no que tange o acesso às leis e direitos trabalhistas. As trabalhadoras domésticas brasileiras travaram por décadas a luta em prol do reconhecimento de seus direitos. Somente em 2015, ocorreu a implementação da Lei Complementar nº150, que dispõe sobre o contrato de trabalho doméstico (Brasil, 2015) e indubitavelmente representa um avanço para a categoria, visto que equiparam a categoria aos demais trabalhadores urbanos e prevê direitos fundamentais estabelecidos na a Consolidação das Leis do Trabalho (CLT) de 1943. </w:t>
      </w:r>
    </w:p>
    <w:p w14:paraId="33F444C7" w14:textId="77777777" w:rsidR="005C2CAA" w:rsidRDefault="00000000">
      <w:pPr>
        <w:spacing w:line="360" w:lineRule="auto"/>
        <w:ind w:firstLine="720"/>
        <w:jc w:val="both"/>
        <w:rPr>
          <w:sz w:val="24"/>
          <w:szCs w:val="24"/>
        </w:rPr>
      </w:pPr>
      <w:r>
        <w:rPr>
          <w:sz w:val="24"/>
          <w:szCs w:val="24"/>
        </w:rPr>
        <w:lastRenderedPageBreak/>
        <w:t>Porém, um dos principais desafios enfrentados é a efetivação dos direitos conquistados pela categoria. A desvalorização e a exclusão da proteção social referente ao trabalho doméstico remunerado é agravado pelas altas taxas de informalidade, com apenas 24,7% das trabalhadoras possuindo carteira assinada, e pela baixa contribuição à previdência social, na qual apenas 35,3% das domésticas contribuem (PNAD Contínua, 2022).</w:t>
      </w:r>
    </w:p>
    <w:p w14:paraId="3CFF672D" w14:textId="77777777" w:rsidR="005C2CAA" w:rsidRDefault="005C2CAA">
      <w:pPr>
        <w:spacing w:line="360" w:lineRule="auto"/>
        <w:jc w:val="both"/>
        <w:rPr>
          <w:sz w:val="24"/>
          <w:szCs w:val="24"/>
        </w:rPr>
      </w:pPr>
    </w:p>
    <w:p w14:paraId="2D25FDDE" w14:textId="77777777" w:rsidR="005C2CAA" w:rsidRDefault="00000000">
      <w:pPr>
        <w:spacing w:line="360" w:lineRule="auto"/>
        <w:jc w:val="both"/>
        <w:rPr>
          <w:b/>
          <w:sz w:val="24"/>
          <w:szCs w:val="24"/>
        </w:rPr>
      </w:pPr>
      <w:r>
        <w:rPr>
          <w:b/>
          <w:sz w:val="24"/>
          <w:szCs w:val="24"/>
        </w:rPr>
        <w:t>3 A “FEMINIZAÇÃO” DO DESEMPREGO EM BARCARENA</w:t>
      </w:r>
    </w:p>
    <w:p w14:paraId="2589034B" w14:textId="77777777" w:rsidR="005C2CAA" w:rsidRDefault="005C2CAA">
      <w:pPr>
        <w:spacing w:line="360" w:lineRule="auto"/>
        <w:jc w:val="both"/>
        <w:rPr>
          <w:sz w:val="24"/>
          <w:szCs w:val="24"/>
        </w:rPr>
      </w:pPr>
    </w:p>
    <w:p w14:paraId="14501F54" w14:textId="77777777" w:rsidR="005C2CAA" w:rsidRDefault="00000000">
      <w:pPr>
        <w:spacing w:line="360" w:lineRule="auto"/>
        <w:ind w:firstLine="720"/>
        <w:jc w:val="both"/>
        <w:rPr>
          <w:sz w:val="24"/>
          <w:szCs w:val="24"/>
        </w:rPr>
      </w:pPr>
      <w:r>
        <w:rPr>
          <w:sz w:val="24"/>
          <w:szCs w:val="24"/>
        </w:rPr>
        <w:t>O município de Barcarena é apresentado como um espaço estratégico de ação, onde a mobilidade é favorecida pelos cursos de rios que integram o município a capital do Pará e por sua natureza rica em matéria-prima (Trindade Jr., 2006). Essas características naturais são lidas pelo modelo desenvolvimentista de Estado como um obstáculo a ser resolvido ou algo a ser explorado sem limites (Loureiro, 2002).</w:t>
      </w:r>
    </w:p>
    <w:p w14:paraId="60CE8D24" w14:textId="77777777" w:rsidR="005C2CAA" w:rsidRDefault="00000000">
      <w:pPr>
        <w:spacing w:line="360" w:lineRule="auto"/>
        <w:ind w:firstLine="720"/>
        <w:jc w:val="both"/>
        <w:rPr>
          <w:sz w:val="24"/>
          <w:szCs w:val="24"/>
        </w:rPr>
      </w:pPr>
      <w:r>
        <w:rPr>
          <w:sz w:val="24"/>
          <w:szCs w:val="24"/>
        </w:rPr>
        <w:t>O contexto de desenvolvimento industrial da região se inicia desde a década de 1980, quando empresas internacionais, com apoio do estado, se instalaram no porto da Vila do Conde. Essa mudança na região reverberou para muitos âmbitos, seja ambiental, econômico ou social, pois antes deste marco, as principais atividades dos moradores do município eram voltados para o comércio local, agricultura familiar, pesca, entre outras atividades laborais que visavam a subsistência. Além disso, muitas famílias foram desapropriadas de suas terras para que a formação do distrito industrial fosse possível, assim muitas foram forçadas ao deslocamento e/ou buscaram formas de adaptação e resistência (Hazeu; Costa, 2022).</w:t>
      </w:r>
    </w:p>
    <w:p w14:paraId="6F097DAF" w14:textId="77777777" w:rsidR="005C2CAA" w:rsidRDefault="00000000">
      <w:pPr>
        <w:spacing w:line="360" w:lineRule="auto"/>
        <w:ind w:firstLine="720"/>
        <w:jc w:val="both"/>
        <w:rPr>
          <w:sz w:val="24"/>
          <w:szCs w:val="24"/>
        </w:rPr>
      </w:pPr>
      <w:r>
        <w:rPr>
          <w:sz w:val="24"/>
          <w:szCs w:val="24"/>
        </w:rPr>
        <w:t xml:space="preserve">O impacto social causado por essa transformação trouxe para os moradores da região a esperança de geração de empregos formais. Porém, esse efeito não foi sentido devido a baixa incorporação aos empregos gerados pelo polo industrial, seja pela não absorção pelas indústrias ou pela falta de qualificação profissional. Sobre este cenário aponta-se que, </w:t>
      </w:r>
    </w:p>
    <w:p w14:paraId="5A279A15" w14:textId="77777777" w:rsidR="005C2CAA" w:rsidRDefault="005C2CAA">
      <w:pPr>
        <w:spacing w:line="360" w:lineRule="auto"/>
        <w:ind w:firstLine="720"/>
        <w:jc w:val="both"/>
        <w:rPr>
          <w:sz w:val="20"/>
          <w:szCs w:val="20"/>
        </w:rPr>
      </w:pPr>
    </w:p>
    <w:p w14:paraId="3C4F0D0B" w14:textId="77777777" w:rsidR="005C2CAA" w:rsidRDefault="00000000">
      <w:pPr>
        <w:spacing w:line="240" w:lineRule="auto"/>
        <w:ind w:left="2267"/>
        <w:jc w:val="both"/>
        <w:rPr>
          <w:sz w:val="20"/>
          <w:szCs w:val="20"/>
        </w:rPr>
      </w:pPr>
      <w:r>
        <w:rPr>
          <w:sz w:val="20"/>
          <w:szCs w:val="20"/>
        </w:rPr>
        <w:lastRenderedPageBreak/>
        <w:t>A população deslocada tentava se reorganizar a partir das suas referências e profissões tradicionais, buscando se inserir em outros lugares e com outras dinâmicas. O novo contexto e a ruptura com as suas terras, rios, igarapés e práticas originais se tornaram obstáculos para que mantivessem suas tradições, mesmo depois de adaptados. Além disso, para a população local, sobraram poucas oportunidades de trabalho nas empresas que estavam sendo instaladas, e o subemprego se tornou uma nova realidade para quem antes sobrevivia da pesca e da agricultura (Hazeu; Costa, 2022, p.39).</w:t>
      </w:r>
    </w:p>
    <w:p w14:paraId="3FB42AAD" w14:textId="77777777" w:rsidR="005C2CAA" w:rsidRDefault="005C2CAA">
      <w:pPr>
        <w:spacing w:line="360" w:lineRule="auto"/>
        <w:ind w:firstLine="720"/>
        <w:jc w:val="both"/>
        <w:rPr>
          <w:sz w:val="20"/>
          <w:szCs w:val="20"/>
        </w:rPr>
      </w:pPr>
    </w:p>
    <w:p w14:paraId="7DD5F3DA" w14:textId="77777777" w:rsidR="005C2CAA" w:rsidRDefault="00000000">
      <w:pPr>
        <w:spacing w:line="360" w:lineRule="auto"/>
        <w:ind w:firstLine="720"/>
        <w:jc w:val="both"/>
        <w:rPr>
          <w:sz w:val="24"/>
          <w:szCs w:val="24"/>
        </w:rPr>
      </w:pPr>
      <w:r>
        <w:rPr>
          <w:sz w:val="24"/>
          <w:szCs w:val="24"/>
        </w:rPr>
        <w:t>Ávila, Ferreira e Arantes (2015) apontam a contradição presente no município, pois é marcado por um alto nível de concentração de renda, onde as exportações anuais chegam a cerca de 3 bilhões. No entanto, grande parte da população se encontra em condição de pobreza. Dados do Censo de 2010 revelam que, em Barcarena, 46,4% da população tinha rendimento mensal per capita de até meio salário mínimo (R$ 255,00) (IBGE, 2010) e 10,49% vivia em situação de extrema pobreza (</w:t>
      </w:r>
      <w:proofErr w:type="spellStart"/>
      <w:r>
        <w:rPr>
          <w:sz w:val="24"/>
          <w:szCs w:val="24"/>
        </w:rPr>
        <w:t>FAPESPA</w:t>
      </w:r>
      <w:proofErr w:type="spellEnd"/>
      <w:r>
        <w:rPr>
          <w:sz w:val="24"/>
          <w:szCs w:val="24"/>
        </w:rPr>
        <w:t>, 2020). Já em 2022, a proporção de moradores nessa faixa de extrema pobreza atingiu 35,36% (</w:t>
      </w:r>
      <w:proofErr w:type="spellStart"/>
      <w:r>
        <w:rPr>
          <w:sz w:val="24"/>
          <w:szCs w:val="24"/>
        </w:rPr>
        <w:t>SAGICAD</w:t>
      </w:r>
      <w:proofErr w:type="spellEnd"/>
      <w:r>
        <w:rPr>
          <w:sz w:val="24"/>
          <w:szCs w:val="24"/>
        </w:rPr>
        <w:t>, 2022).</w:t>
      </w:r>
    </w:p>
    <w:p w14:paraId="13F8FD91" w14:textId="77777777" w:rsidR="005C2CAA" w:rsidRDefault="00000000">
      <w:pPr>
        <w:spacing w:line="360" w:lineRule="auto"/>
        <w:ind w:firstLine="720"/>
        <w:jc w:val="both"/>
        <w:rPr>
          <w:sz w:val="24"/>
          <w:szCs w:val="24"/>
        </w:rPr>
      </w:pPr>
      <w:r>
        <w:rPr>
          <w:sz w:val="24"/>
          <w:szCs w:val="24"/>
        </w:rPr>
        <w:t>Nesse cenário, as oportunidades mais estáveis e bem remuneradas concentraram-se em setores masculinizados, enquanto às mulheres restaram ocupações marcadas pela informalidade e baixos salários. Uma das principais formas de inserção feminina no mercado de trabalho local foi por meio do trabalho doméstico. Como destacam,</w:t>
      </w:r>
    </w:p>
    <w:p w14:paraId="52245175" w14:textId="77777777" w:rsidR="005C2CAA" w:rsidRDefault="005C2CAA">
      <w:pPr>
        <w:spacing w:line="360" w:lineRule="auto"/>
        <w:jc w:val="both"/>
        <w:rPr>
          <w:sz w:val="20"/>
          <w:szCs w:val="20"/>
        </w:rPr>
      </w:pPr>
    </w:p>
    <w:p w14:paraId="5655CEAB" w14:textId="77777777" w:rsidR="005C2CAA" w:rsidRDefault="00000000">
      <w:pPr>
        <w:spacing w:line="240" w:lineRule="auto"/>
        <w:ind w:left="2267"/>
        <w:jc w:val="both"/>
        <w:rPr>
          <w:b/>
          <w:sz w:val="20"/>
          <w:szCs w:val="20"/>
        </w:rPr>
      </w:pPr>
      <w:r>
        <w:rPr>
          <w:sz w:val="20"/>
          <w:szCs w:val="20"/>
        </w:rPr>
        <w:t xml:space="preserve">[...] o emprego doméstico para as famílias empregadas no Polo foi uma das principais vias de acesso à renda gerada na região. Nesse processo, “as mulheres buscam o trabalho fora de casa como serventes ou domésticas (...) o recurso ao trabalho doméstico na cidade pelas filhas e o trabalho assalariado dos filhos temporariamente na cidade tornam-se necessários à sobrevivência da família” (Moura; Sá, 1983, p. 89 </w:t>
      </w:r>
      <w:proofErr w:type="spellStart"/>
      <w:r>
        <w:rPr>
          <w:sz w:val="20"/>
          <w:szCs w:val="20"/>
        </w:rPr>
        <w:t>Apud</w:t>
      </w:r>
      <w:proofErr w:type="spellEnd"/>
      <w:r>
        <w:rPr>
          <w:sz w:val="20"/>
          <w:szCs w:val="20"/>
        </w:rPr>
        <w:t xml:space="preserve"> Ávila; Ferreira; Arantes, 2015, p.40).</w:t>
      </w:r>
    </w:p>
    <w:p w14:paraId="34E655CE" w14:textId="77777777" w:rsidR="005C2CAA" w:rsidRDefault="005C2CAA">
      <w:pPr>
        <w:spacing w:line="360" w:lineRule="auto"/>
        <w:ind w:firstLine="720"/>
        <w:jc w:val="both"/>
        <w:rPr>
          <w:b/>
          <w:sz w:val="20"/>
          <w:szCs w:val="20"/>
        </w:rPr>
      </w:pPr>
    </w:p>
    <w:p w14:paraId="037697F5" w14:textId="77777777" w:rsidR="005C2CAA" w:rsidRDefault="00000000">
      <w:pPr>
        <w:spacing w:line="360" w:lineRule="auto"/>
        <w:ind w:firstLine="720"/>
        <w:jc w:val="both"/>
        <w:rPr>
          <w:sz w:val="24"/>
          <w:szCs w:val="24"/>
        </w:rPr>
      </w:pPr>
      <w:r>
        <w:rPr>
          <w:sz w:val="24"/>
          <w:szCs w:val="24"/>
        </w:rPr>
        <w:t xml:space="preserve">Essa indiferença para com a força de trabalho feminina no município de Barcarena é a chamada “feminização do desemprego”(Nascimento, 2016, p.137), onde o impacto dos pólos “desenvolvimentistas” do Pará evidenciam desigualdades de gênero no processo de absorção de trabalhadores e trabalhadoras nos postos de trabalho gerados. </w:t>
      </w:r>
    </w:p>
    <w:p w14:paraId="77B0367E" w14:textId="77777777" w:rsidR="005C2CAA" w:rsidRDefault="00000000">
      <w:pPr>
        <w:spacing w:line="360" w:lineRule="auto"/>
        <w:ind w:firstLine="720"/>
        <w:jc w:val="both"/>
        <w:rPr>
          <w:sz w:val="24"/>
          <w:szCs w:val="24"/>
        </w:rPr>
      </w:pPr>
      <w:r>
        <w:rPr>
          <w:sz w:val="24"/>
          <w:szCs w:val="24"/>
        </w:rPr>
        <w:lastRenderedPageBreak/>
        <w:t>Portanto, a lógica patriarcal de reprodução de papéis de gênero impõe tais desigualdades a partir de um modelo dicotômico dominante: o homem, enquanto trabalhador, ocupa um espaço na esfera produtiva, ou seja, o seu trabalho produz valor de uso e troca para o sistema; a mulher é relegada à esfera reprodutiva e associada à trabalhados não pagos e considerados não lucrativos, como o trabalho doméstico ou de cuidado, mesmo quando este é remunerado. Essa nova realidade no contexto de Barcarena corroborou para diferentes perspectivas e condições de trabalhos para homens e mulheres.</w:t>
      </w:r>
    </w:p>
    <w:p w14:paraId="3E276B39" w14:textId="77777777" w:rsidR="005C2CAA" w:rsidRDefault="005C2CAA">
      <w:pPr>
        <w:spacing w:line="360" w:lineRule="auto"/>
        <w:ind w:firstLine="720"/>
        <w:jc w:val="both"/>
        <w:rPr>
          <w:sz w:val="24"/>
          <w:szCs w:val="24"/>
        </w:rPr>
      </w:pPr>
    </w:p>
    <w:p w14:paraId="09492F52" w14:textId="77777777" w:rsidR="005C2CAA" w:rsidRDefault="00000000">
      <w:pPr>
        <w:spacing w:line="360" w:lineRule="auto"/>
        <w:jc w:val="both"/>
        <w:rPr>
          <w:b/>
          <w:sz w:val="24"/>
          <w:szCs w:val="24"/>
        </w:rPr>
      </w:pPr>
      <w:r>
        <w:rPr>
          <w:b/>
          <w:sz w:val="24"/>
          <w:szCs w:val="24"/>
        </w:rPr>
        <w:t xml:space="preserve">4 A REALIDADE DAS TRABALHADORAS DOMÉSTICAS EM BARCARENA </w:t>
      </w:r>
    </w:p>
    <w:p w14:paraId="57A90673" w14:textId="77777777" w:rsidR="005C2CAA" w:rsidRDefault="005C2CAA">
      <w:pPr>
        <w:spacing w:line="360" w:lineRule="auto"/>
        <w:jc w:val="both"/>
        <w:rPr>
          <w:sz w:val="24"/>
          <w:szCs w:val="24"/>
          <w:shd w:val="clear" w:color="auto" w:fill="F4CCCC"/>
        </w:rPr>
      </w:pPr>
    </w:p>
    <w:p w14:paraId="0A694352" w14:textId="77777777" w:rsidR="005C2CAA" w:rsidRDefault="00000000">
      <w:pPr>
        <w:spacing w:line="360" w:lineRule="auto"/>
        <w:ind w:firstLine="720"/>
        <w:jc w:val="both"/>
        <w:rPr>
          <w:sz w:val="24"/>
          <w:szCs w:val="24"/>
        </w:rPr>
      </w:pPr>
      <w:r>
        <w:rPr>
          <w:sz w:val="24"/>
          <w:szCs w:val="24"/>
        </w:rPr>
        <w:t>De acordo com reportagem exibida pelo programa Profissão Repórter em junho de 2015, às condições de vida e trabalho de trabalhadoras domésticas remuneradas em Barcarena é permeado por situações de precarização e insegurança econômica. A precariedade vivenciada por essas mulheres é exposta na reportagem ao apresentar as condições de suas residências, a informalidade do trabalho, a composição do arranjo familiar, o quantitativo de salário recebido e quantas vezes trabalham por semana.</w:t>
      </w:r>
    </w:p>
    <w:p w14:paraId="03485697" w14:textId="77777777" w:rsidR="005C2CAA" w:rsidRDefault="00000000">
      <w:pPr>
        <w:spacing w:line="360" w:lineRule="auto"/>
        <w:ind w:firstLine="720"/>
        <w:jc w:val="both"/>
        <w:rPr>
          <w:sz w:val="24"/>
          <w:szCs w:val="24"/>
        </w:rPr>
      </w:pPr>
      <w:r>
        <w:rPr>
          <w:sz w:val="24"/>
          <w:szCs w:val="24"/>
        </w:rPr>
        <w:t>O repórter Estevan Muniz esteve em Barcarena para acompanhar sindicalistas da Federação das Trabalhadoras Domésticas da Região Amazônica (</w:t>
      </w:r>
      <w:proofErr w:type="spellStart"/>
      <w:r>
        <w:rPr>
          <w:sz w:val="24"/>
          <w:szCs w:val="24"/>
        </w:rPr>
        <w:t>Fetradoram</w:t>
      </w:r>
      <w:proofErr w:type="spellEnd"/>
      <w:r>
        <w:rPr>
          <w:sz w:val="24"/>
          <w:szCs w:val="24"/>
        </w:rPr>
        <w:t>) em visitas domiciliares a trabalhadoras domésticas, visando a criação de um levantamento de dados destas mulheres e, por fim, a construção de um conjunto habitacional para a categoria. Foram visitadas 600 domésticas em Barcarena, das quais 558 não recebiam um salário mínimo (correspondia a R$ 788,00 em 2015), e das duas que recebiam 1 salário mínimo, apenas uma possuía carteira assinada. No estado do Pará os números mostraram que 92% das trabalhadoras domésticas não possuem carteira assinada, ou seja, estão inseridas em contexto de informalidade (Profissão Repórter, 2015).</w:t>
      </w:r>
    </w:p>
    <w:p w14:paraId="092EA25F" w14:textId="70270E31" w:rsidR="005C2CAA" w:rsidRDefault="00000000">
      <w:pPr>
        <w:spacing w:line="360" w:lineRule="auto"/>
        <w:ind w:firstLine="720"/>
        <w:jc w:val="both"/>
        <w:rPr>
          <w:sz w:val="24"/>
          <w:szCs w:val="24"/>
        </w:rPr>
      </w:pPr>
      <w:r>
        <w:rPr>
          <w:sz w:val="24"/>
          <w:szCs w:val="24"/>
        </w:rPr>
        <w:lastRenderedPageBreak/>
        <w:t xml:space="preserve">A entrevista realizada com uma trabalhadora doméstica, expõe as dificuldades desde a chegada dos sindicalistas e da equipe de reportagem antes de adentrar sua residência, pois o lugar onde mora é de várzea e o caminho até a casa é feito por um tronco de árvore. Além disso, verificou-se que não há saneamento básico na área. Essa trabalhadora relatou que trabalha 3 vezes na semana e no final de semana recebe R$ 80,00. Se for chamada para trabalhar toda semana, ganha cerca de R$ 320,00 ao mês. Outra entrevistada relata que trabalha todos os dias da semana e recebe R$150,00 reais mensais, não tem carteira assinada e a renda da casa é de R$300,00 por mês, dinheiro que usa para comprar comida e pagar a energia (Profissão </w:t>
      </w:r>
      <w:r w:rsidR="0024467C">
        <w:rPr>
          <w:sz w:val="24"/>
          <w:szCs w:val="24"/>
        </w:rPr>
        <w:t>Repórter</w:t>
      </w:r>
      <w:r>
        <w:rPr>
          <w:sz w:val="24"/>
          <w:szCs w:val="24"/>
        </w:rPr>
        <w:t>, 2015).</w:t>
      </w:r>
    </w:p>
    <w:p w14:paraId="5D17BCE0" w14:textId="77777777" w:rsidR="005C2CAA" w:rsidRDefault="00000000">
      <w:pPr>
        <w:spacing w:line="360" w:lineRule="auto"/>
        <w:ind w:firstLine="720"/>
        <w:jc w:val="both"/>
        <w:rPr>
          <w:sz w:val="24"/>
          <w:szCs w:val="24"/>
          <w:shd w:val="clear" w:color="auto" w:fill="E6B8AF"/>
        </w:rPr>
      </w:pPr>
      <w:r>
        <w:rPr>
          <w:sz w:val="24"/>
          <w:szCs w:val="24"/>
        </w:rPr>
        <w:t xml:space="preserve">Já Nelma relatou que, após o marido perder o emprego, foi morar na casa da sogra. Nessa casa moram 21 pessoas e 5 são domésticas. Ela ganha em média R$120,00 por mês e sua renda é complementada através do bolsa família de R$230,00, que assiste a ela, o marido e seus dois filhos. Na ocasião, a trabalhadora estava grávida de 4 meses e estava atuando como diarista, apesar da gravidez ser de risco. Antes da gravidez, alegou trabalhar de segunda a sexta, porém, na sua realidade como diarista, está sujeita a um trabalho sem salário, dias e horários pré-estabelecidos. O que chama a atenção também é que a patroa é sua irmã e afirma saber que poderia ajudar mais, se o acordo estabelecido entre ambas não fosse mediante trocas, onde Nelma faz o serviço e ela contribui com </w:t>
      </w:r>
      <w:r>
        <w:rPr>
          <w:i/>
          <w:sz w:val="24"/>
          <w:szCs w:val="24"/>
        </w:rPr>
        <w:t xml:space="preserve">“alguma coisa para ela” </w:t>
      </w:r>
      <w:r>
        <w:rPr>
          <w:sz w:val="24"/>
          <w:szCs w:val="24"/>
        </w:rPr>
        <w:t xml:space="preserve">e conclui falando que </w:t>
      </w:r>
      <w:r>
        <w:rPr>
          <w:i/>
          <w:sz w:val="24"/>
          <w:szCs w:val="24"/>
        </w:rPr>
        <w:t xml:space="preserve">“Eu nem chamaria de serviço doméstico, mas ela me ajuda muito mesmo assim.” </w:t>
      </w:r>
      <w:r>
        <w:rPr>
          <w:sz w:val="24"/>
          <w:szCs w:val="24"/>
        </w:rPr>
        <w:t>(Profissão Repórter, 2015)</w:t>
      </w:r>
    </w:p>
    <w:p w14:paraId="72B5CE34" w14:textId="75ED8A27" w:rsidR="005C2CAA" w:rsidRDefault="00000000">
      <w:pPr>
        <w:spacing w:line="360" w:lineRule="auto"/>
        <w:ind w:firstLine="720"/>
        <w:jc w:val="both"/>
        <w:rPr>
          <w:sz w:val="24"/>
          <w:szCs w:val="24"/>
        </w:rPr>
      </w:pPr>
      <w:r>
        <w:rPr>
          <w:sz w:val="24"/>
          <w:szCs w:val="24"/>
        </w:rPr>
        <w:t xml:space="preserve">Por conseguinte, a literatura indica que o início das trajetórias de trabalho dessas mulheres é marcado também por movimento migratório. Essa realidade foi vivenciada por muitas ainda na infância, na qual meninas que residiam em Barcarena migraram para Belém em busca de melhores condições de vida e como forma de escapar da pobreza e ajudar a família. Entretanto, as que permaneceram no </w:t>
      </w:r>
      <w:r w:rsidR="007C01BB">
        <w:rPr>
          <w:sz w:val="24"/>
          <w:szCs w:val="24"/>
        </w:rPr>
        <w:t>município</w:t>
      </w:r>
      <w:r>
        <w:rPr>
          <w:sz w:val="24"/>
          <w:szCs w:val="24"/>
        </w:rPr>
        <w:t xml:space="preserve"> também sofreram com a exploração do trabalho infantil (Ávila, Ferreira e Arantes, 2015).</w:t>
      </w:r>
    </w:p>
    <w:p w14:paraId="43B4A6F0" w14:textId="77777777" w:rsidR="005C2CAA" w:rsidRDefault="00000000">
      <w:pPr>
        <w:spacing w:line="360" w:lineRule="auto"/>
        <w:ind w:firstLine="720"/>
        <w:jc w:val="both"/>
        <w:rPr>
          <w:sz w:val="24"/>
          <w:szCs w:val="24"/>
          <w:shd w:val="clear" w:color="auto" w:fill="E6B8AF"/>
        </w:rPr>
      </w:pPr>
      <w:r>
        <w:rPr>
          <w:sz w:val="24"/>
          <w:szCs w:val="24"/>
        </w:rPr>
        <w:lastRenderedPageBreak/>
        <w:t xml:space="preserve">A ida de meninas para a capital, é discutida como uma lógica de subordinação, onde são “[...] arrancadas de sua infância e adolescência por serem meninas pobres, negras (morenas e pretas) das periferias e </w:t>
      </w:r>
      <w:r>
        <w:rPr>
          <w:i/>
          <w:sz w:val="24"/>
          <w:szCs w:val="24"/>
        </w:rPr>
        <w:t>do interior.</w:t>
      </w:r>
      <w:r>
        <w:rPr>
          <w:sz w:val="24"/>
          <w:szCs w:val="24"/>
        </w:rPr>
        <w:t xml:space="preserve"> Muitas delas buscam </w:t>
      </w:r>
      <w:r>
        <w:rPr>
          <w:i/>
          <w:sz w:val="24"/>
          <w:szCs w:val="24"/>
        </w:rPr>
        <w:t xml:space="preserve">é estudar </w:t>
      </w:r>
      <w:r>
        <w:rPr>
          <w:sz w:val="24"/>
          <w:szCs w:val="24"/>
        </w:rPr>
        <w:t xml:space="preserve">como promessa feita por quem a trouxe do </w:t>
      </w:r>
      <w:r>
        <w:rPr>
          <w:i/>
          <w:sz w:val="24"/>
          <w:szCs w:val="24"/>
        </w:rPr>
        <w:t>interior</w:t>
      </w:r>
      <w:r>
        <w:rPr>
          <w:sz w:val="24"/>
          <w:szCs w:val="24"/>
        </w:rPr>
        <w:t xml:space="preserve"> à capital carregando consigo </w:t>
      </w:r>
      <w:r>
        <w:rPr>
          <w:i/>
          <w:sz w:val="24"/>
          <w:szCs w:val="24"/>
        </w:rPr>
        <w:t>planos para o futuro.”</w:t>
      </w:r>
      <w:r>
        <w:rPr>
          <w:sz w:val="24"/>
          <w:szCs w:val="24"/>
        </w:rPr>
        <w:t xml:space="preserve"> (Conrado, 2020, p. 68). O Trabalho Infantil Doméstico (TID) é uma realidade considerada até “cultural” em algumas regiões do Brasil, onde meninas do interior são “apadrinhadas” e levadas para capital com promessas de melhores condições de estudo e em troca elas trabalham realizando serviços domésticos e raramente a promessa inicial se cumpre.</w:t>
      </w:r>
    </w:p>
    <w:p w14:paraId="04751D62" w14:textId="77777777" w:rsidR="005C2CAA" w:rsidRDefault="00000000">
      <w:pPr>
        <w:spacing w:line="360" w:lineRule="auto"/>
        <w:ind w:firstLine="720"/>
        <w:jc w:val="both"/>
        <w:rPr>
          <w:sz w:val="24"/>
          <w:szCs w:val="24"/>
        </w:rPr>
      </w:pPr>
      <w:r>
        <w:rPr>
          <w:sz w:val="24"/>
          <w:szCs w:val="24"/>
        </w:rPr>
        <w:t xml:space="preserve">Assim, o trabalho doméstico em Barcarena se configura perante diversos desafios. O impacto causado na região mediante a mudança na organização social e do trabalho desconsiderou a população local e seus modos de vida, repercutindo na desvalorização dos trabalhos desempenhados por mulheres, o qual são marcadas pela invisibilização e a exploração da força de trabalho, e permeadas por uma trajetória que se inicia muitas vezes ainda na infância. Logo, este trabalho garante a reprodução de outras famílias, mas não garante a estas mulheres o mesmo, afinal, o trabalho doméstico constitui uma opção de sobrevivência. </w:t>
      </w:r>
    </w:p>
    <w:p w14:paraId="1BF4E410" w14:textId="77777777" w:rsidR="005C2CAA" w:rsidRDefault="005C2CAA">
      <w:pPr>
        <w:spacing w:line="360" w:lineRule="auto"/>
        <w:ind w:firstLine="720"/>
        <w:jc w:val="both"/>
        <w:rPr>
          <w:sz w:val="24"/>
          <w:szCs w:val="24"/>
        </w:rPr>
      </w:pPr>
    </w:p>
    <w:p w14:paraId="1CDDFAC7" w14:textId="77777777" w:rsidR="005C2CAA" w:rsidRDefault="00000000">
      <w:pPr>
        <w:spacing w:line="360" w:lineRule="auto"/>
        <w:jc w:val="both"/>
        <w:rPr>
          <w:sz w:val="24"/>
          <w:szCs w:val="24"/>
        </w:rPr>
      </w:pPr>
      <w:r>
        <w:rPr>
          <w:b/>
          <w:sz w:val="24"/>
          <w:szCs w:val="24"/>
        </w:rPr>
        <w:t>5 CONCLUSÃO</w:t>
      </w:r>
    </w:p>
    <w:p w14:paraId="0AEA6A48" w14:textId="77777777" w:rsidR="005C2CAA" w:rsidRDefault="005C2CAA">
      <w:pPr>
        <w:spacing w:line="360" w:lineRule="auto"/>
        <w:ind w:firstLine="709"/>
        <w:jc w:val="both"/>
        <w:rPr>
          <w:sz w:val="24"/>
          <w:szCs w:val="24"/>
          <w:shd w:val="clear" w:color="auto" w:fill="FCE5CD"/>
        </w:rPr>
      </w:pPr>
    </w:p>
    <w:p w14:paraId="5DFBF24B" w14:textId="77777777" w:rsidR="005C2CAA" w:rsidRDefault="00000000">
      <w:pPr>
        <w:spacing w:line="360" w:lineRule="auto"/>
        <w:ind w:firstLine="709"/>
        <w:jc w:val="both"/>
        <w:rPr>
          <w:sz w:val="24"/>
          <w:szCs w:val="24"/>
        </w:rPr>
      </w:pPr>
      <w:r>
        <w:rPr>
          <w:sz w:val="24"/>
          <w:szCs w:val="24"/>
        </w:rPr>
        <w:t xml:space="preserve">Diante do exposto, em linhas gerais, compreende-se que a instalação do polo industrial em Barcarena modificou não apenas o meio ambiente, mas as formas de manutenção das pessoas, sobretudo no que diz respeito ao trabalho feminino e a função da mulher neste novo cenário, visto que as mesmas não foram incorporadas nos empregos gerados e necessitaram buscar novas formas de sustento. </w:t>
      </w:r>
    </w:p>
    <w:p w14:paraId="258B128C" w14:textId="77777777" w:rsidR="005C2CAA" w:rsidRDefault="00000000">
      <w:pPr>
        <w:spacing w:line="360" w:lineRule="auto"/>
        <w:ind w:firstLine="720"/>
        <w:jc w:val="both"/>
        <w:rPr>
          <w:sz w:val="24"/>
          <w:szCs w:val="24"/>
        </w:rPr>
      </w:pPr>
      <w:r>
        <w:rPr>
          <w:sz w:val="24"/>
          <w:szCs w:val="24"/>
        </w:rPr>
        <w:t xml:space="preserve">O panorama do trabalho doméstico remunerado no contexto amazônida é particularizado na questão do movimento de migração de meninas ou mulheres do interior para a capital em busca de melhores condições de vida. Entretanto, conforme </w:t>
      </w:r>
      <w:r>
        <w:rPr>
          <w:sz w:val="24"/>
          <w:szCs w:val="24"/>
        </w:rPr>
        <w:lastRenderedPageBreak/>
        <w:t xml:space="preserve">a literatura indica, esta possível melhora não é uma realidade, pelo contrário, encontra-se um quadro de exploração de cunho moral, psicológica, física e sexual. </w:t>
      </w:r>
    </w:p>
    <w:p w14:paraId="63533C87" w14:textId="77777777" w:rsidR="005C2CAA" w:rsidRDefault="00000000">
      <w:pPr>
        <w:spacing w:line="360" w:lineRule="auto"/>
        <w:ind w:firstLine="720"/>
        <w:jc w:val="both"/>
        <w:rPr>
          <w:sz w:val="24"/>
          <w:szCs w:val="24"/>
        </w:rPr>
      </w:pPr>
      <w:r>
        <w:rPr>
          <w:sz w:val="24"/>
          <w:szCs w:val="24"/>
        </w:rPr>
        <w:t>Constata-se que a vida das trabalhadoras domésticas são afetadas em vários âmbitos, seja social, econômica e política. O baixo acesso a direitos trabalhistas e previdenciários, relega as trabalhadoras a condições precárias de trabalho e vida e são perpetuadas devido às altas taxas de informalidade, ou seja, a não assinatura da carteira de trabalho. Essa configuração imprime também o aspecto servil e racializado atribuído historicamente ao trabalho doméstico brasileiro.</w:t>
      </w:r>
    </w:p>
    <w:p w14:paraId="0B4605AD" w14:textId="77777777" w:rsidR="005C2CAA" w:rsidRDefault="00000000">
      <w:pPr>
        <w:spacing w:line="360" w:lineRule="auto"/>
        <w:ind w:firstLine="720"/>
        <w:jc w:val="both"/>
        <w:rPr>
          <w:sz w:val="24"/>
          <w:szCs w:val="24"/>
        </w:rPr>
      </w:pPr>
      <w:r>
        <w:rPr>
          <w:sz w:val="24"/>
          <w:szCs w:val="24"/>
        </w:rPr>
        <w:t>Além disso, a desvalorização é evidente ao analisar os baixos salários recebidos e a diferenciação entre trabalho produtivo e reprodutivo, onde este último é invisibilizado e descredibilizado. O trabalho doméstico é um dos pilares da reprodução social, ou seja, a própria organização capitalista apresenta seu movimento contraditório, ao passo que mediante a imposição da divisão sexual do trabalho, designa os homens aos trabalhos fora de casa e as mulheres o trabalho doméstico e de cuidados, logo ignora-se o produto do trabalho reprodutivo: a força de trabalho. Assim, não existe trabalho produtivo sem o trabalho reprodutivo.</w:t>
      </w:r>
    </w:p>
    <w:p w14:paraId="18547047" w14:textId="77777777" w:rsidR="005C2CAA" w:rsidRDefault="00000000">
      <w:pPr>
        <w:spacing w:line="360" w:lineRule="auto"/>
        <w:ind w:firstLine="720"/>
        <w:jc w:val="both"/>
        <w:rPr>
          <w:sz w:val="24"/>
          <w:szCs w:val="24"/>
        </w:rPr>
      </w:pPr>
      <w:r>
        <w:rPr>
          <w:sz w:val="24"/>
          <w:szCs w:val="24"/>
        </w:rPr>
        <w:t xml:space="preserve">A pesquisa realizada no presente trabalho buscou a sua delimitação em discutir brevemente o impacto causado na organização social a partir da implementação do polo industrial no município de Barcarena e sua repercussão no trabalho feminino, especialmente o trabalho doméstico remunerado. E abre espaço para pesquisas futuras no sentido de aprofundar questões ligadas ao trabalho feminino em contexto de projetos econômicos minero-metalúrgicos, Trabalho Infantil Doméstico e trabalho doméstico análogo a escravidão. </w:t>
      </w:r>
    </w:p>
    <w:p w14:paraId="7A6410A2" w14:textId="77777777" w:rsidR="005C2CAA" w:rsidRDefault="00000000">
      <w:pPr>
        <w:spacing w:line="360" w:lineRule="auto"/>
        <w:ind w:firstLine="720"/>
        <w:jc w:val="both"/>
        <w:rPr>
          <w:sz w:val="24"/>
          <w:szCs w:val="24"/>
          <w:shd w:val="clear" w:color="auto" w:fill="FCE5CD"/>
        </w:rPr>
      </w:pPr>
      <w:r>
        <w:rPr>
          <w:sz w:val="24"/>
          <w:szCs w:val="24"/>
        </w:rPr>
        <w:t xml:space="preserve">Considera-se a importância de estudar o trabalho doméstico no contexto da Amazônia, buscando compreender o que é universal e o que é singular neste processo, para demarcar seus aspectos particulares, visto que há poucas pesquisas sobre esta temática. Além disso, nota-se a ausência de projeto, programas e políticas públicas locais que contemplem a realidade exposta ao longo deste trabalho, assim </w:t>
      </w:r>
      <w:r>
        <w:rPr>
          <w:sz w:val="24"/>
          <w:szCs w:val="24"/>
        </w:rPr>
        <w:lastRenderedPageBreak/>
        <w:t>espera-se que a discussão proposta contribua com a luta das trabalhadoras domésticas e alcance a materialidade por meio de ações concretas.</w:t>
      </w:r>
    </w:p>
    <w:p w14:paraId="6BDF0392" w14:textId="77777777" w:rsidR="005C2CAA" w:rsidRDefault="005C2CAA">
      <w:pPr>
        <w:spacing w:line="360" w:lineRule="auto"/>
        <w:jc w:val="both"/>
        <w:rPr>
          <w:sz w:val="24"/>
          <w:szCs w:val="24"/>
        </w:rPr>
      </w:pPr>
    </w:p>
    <w:p w14:paraId="6598E775" w14:textId="77777777" w:rsidR="005C2CAA" w:rsidRDefault="00000000">
      <w:pPr>
        <w:spacing w:line="360" w:lineRule="auto"/>
        <w:jc w:val="center"/>
        <w:rPr>
          <w:b/>
          <w:sz w:val="24"/>
          <w:szCs w:val="24"/>
        </w:rPr>
      </w:pPr>
      <w:r>
        <w:rPr>
          <w:b/>
          <w:sz w:val="24"/>
          <w:szCs w:val="24"/>
        </w:rPr>
        <w:t>REFERÊNCIAS</w:t>
      </w:r>
    </w:p>
    <w:p w14:paraId="35F4513D" w14:textId="77777777" w:rsidR="005C2CAA" w:rsidRDefault="005C2CAA">
      <w:pPr>
        <w:spacing w:line="360" w:lineRule="auto"/>
        <w:jc w:val="both"/>
        <w:rPr>
          <w:b/>
          <w:sz w:val="24"/>
          <w:szCs w:val="24"/>
        </w:rPr>
      </w:pPr>
    </w:p>
    <w:p w14:paraId="78DD73EA" w14:textId="77777777" w:rsidR="005C2CAA" w:rsidRDefault="00000000">
      <w:pPr>
        <w:spacing w:line="240" w:lineRule="auto"/>
        <w:rPr>
          <w:sz w:val="24"/>
          <w:szCs w:val="24"/>
        </w:rPr>
      </w:pPr>
      <w:r>
        <w:rPr>
          <w:sz w:val="24"/>
          <w:szCs w:val="24"/>
        </w:rPr>
        <w:t xml:space="preserve">ARAUJO, Anna Bárbara; </w:t>
      </w:r>
      <w:proofErr w:type="spellStart"/>
      <w:r>
        <w:rPr>
          <w:sz w:val="24"/>
          <w:szCs w:val="24"/>
        </w:rPr>
        <w:t>MONTICELLI</w:t>
      </w:r>
      <w:proofErr w:type="spellEnd"/>
      <w:r>
        <w:rPr>
          <w:sz w:val="24"/>
          <w:szCs w:val="24"/>
        </w:rPr>
        <w:t xml:space="preserve">, Thays; </w:t>
      </w:r>
      <w:proofErr w:type="spellStart"/>
      <w:r>
        <w:rPr>
          <w:sz w:val="24"/>
          <w:szCs w:val="24"/>
        </w:rPr>
        <w:t>ACCIARI</w:t>
      </w:r>
      <w:proofErr w:type="spellEnd"/>
      <w:r>
        <w:rPr>
          <w:sz w:val="24"/>
          <w:szCs w:val="24"/>
        </w:rPr>
        <w:t xml:space="preserve">, Louisa. Trabalho doméstico e de cuidado: Um campo de debate. </w:t>
      </w:r>
      <w:r>
        <w:rPr>
          <w:b/>
          <w:sz w:val="24"/>
          <w:szCs w:val="24"/>
        </w:rPr>
        <w:t>Tempo Social</w:t>
      </w:r>
      <w:r>
        <w:rPr>
          <w:sz w:val="24"/>
          <w:szCs w:val="24"/>
        </w:rPr>
        <w:t>, v. 33, n. 1, p.145–167, jan. 2021. Disponível em: https://www.scielo.br/j/ts/a/TGKDBPYy6cM7XkjLcktwdjb/?lang=pt. Acesso em: 28 nov. 2024.</w:t>
      </w:r>
    </w:p>
    <w:p w14:paraId="62B4C148" w14:textId="77777777" w:rsidR="005C2CAA" w:rsidRDefault="005C2CAA">
      <w:pPr>
        <w:spacing w:line="240" w:lineRule="auto"/>
        <w:rPr>
          <w:sz w:val="24"/>
          <w:szCs w:val="24"/>
        </w:rPr>
      </w:pPr>
    </w:p>
    <w:p w14:paraId="4B67C8F0" w14:textId="77777777" w:rsidR="005C2CAA" w:rsidRDefault="00000000">
      <w:pPr>
        <w:spacing w:line="240" w:lineRule="auto"/>
        <w:rPr>
          <w:sz w:val="24"/>
          <w:szCs w:val="24"/>
        </w:rPr>
      </w:pPr>
      <w:r>
        <w:rPr>
          <w:sz w:val="24"/>
          <w:szCs w:val="24"/>
        </w:rPr>
        <w:t xml:space="preserve">ÁVILA, Maria Betânia; FERREIRA, Verônica; ARANTES, </w:t>
      </w:r>
      <w:proofErr w:type="spellStart"/>
      <w:r>
        <w:rPr>
          <w:sz w:val="24"/>
          <w:szCs w:val="24"/>
        </w:rPr>
        <w:t>Rivane</w:t>
      </w:r>
      <w:proofErr w:type="spellEnd"/>
      <w:r>
        <w:rPr>
          <w:sz w:val="24"/>
          <w:szCs w:val="24"/>
        </w:rPr>
        <w:t xml:space="preserve">. Desenvolvimento, trabalho e autonomia econômica na perspectiva das mulheres brasileiras. </w:t>
      </w:r>
      <w:r>
        <w:rPr>
          <w:b/>
          <w:sz w:val="24"/>
          <w:szCs w:val="24"/>
        </w:rPr>
        <w:t>Recife: SOS Corpo</w:t>
      </w:r>
      <w:r>
        <w:rPr>
          <w:sz w:val="24"/>
          <w:szCs w:val="24"/>
        </w:rPr>
        <w:t>, 2015.</w:t>
      </w:r>
    </w:p>
    <w:p w14:paraId="67947A99" w14:textId="77777777" w:rsidR="005C2CAA" w:rsidRDefault="005C2CAA">
      <w:pPr>
        <w:spacing w:line="240" w:lineRule="auto"/>
        <w:rPr>
          <w:sz w:val="24"/>
          <w:szCs w:val="24"/>
        </w:rPr>
      </w:pPr>
    </w:p>
    <w:p w14:paraId="46303080" w14:textId="77777777" w:rsidR="005C2CAA" w:rsidRDefault="00000000">
      <w:pPr>
        <w:spacing w:line="240" w:lineRule="auto"/>
        <w:rPr>
          <w:sz w:val="24"/>
          <w:szCs w:val="24"/>
        </w:rPr>
      </w:pPr>
      <w:r>
        <w:rPr>
          <w:sz w:val="24"/>
          <w:szCs w:val="24"/>
        </w:rPr>
        <w:t>BRASIL.</w:t>
      </w:r>
      <w:r>
        <w:rPr>
          <w:b/>
          <w:sz w:val="24"/>
          <w:szCs w:val="24"/>
        </w:rPr>
        <w:t xml:space="preserve"> Lei Complementar no 150 de 1º de junho de 2015</w:t>
      </w:r>
      <w:r>
        <w:rPr>
          <w:sz w:val="24"/>
          <w:szCs w:val="24"/>
        </w:rPr>
        <w:t xml:space="preserve">. Disponível em: </w:t>
      </w:r>
      <w:hyperlink r:id="rId7">
        <w:r>
          <w:rPr>
            <w:sz w:val="24"/>
            <w:szCs w:val="24"/>
          </w:rPr>
          <w:t>http://www.planalto.gov.br/ccivil_03/leis/LCP/Lcp150.htm</w:t>
        </w:r>
      </w:hyperlink>
      <w:r>
        <w:rPr>
          <w:sz w:val="24"/>
          <w:szCs w:val="24"/>
        </w:rPr>
        <w:t>. Acesso em: 01 de out.. de 2022.</w:t>
      </w:r>
    </w:p>
    <w:p w14:paraId="41C16E13" w14:textId="77777777" w:rsidR="005C2CAA" w:rsidRDefault="005C2CAA">
      <w:pPr>
        <w:spacing w:line="240" w:lineRule="auto"/>
        <w:rPr>
          <w:sz w:val="24"/>
          <w:szCs w:val="24"/>
        </w:rPr>
      </w:pPr>
    </w:p>
    <w:p w14:paraId="34A8A4FF" w14:textId="77777777" w:rsidR="005C2CAA" w:rsidRDefault="00000000">
      <w:pPr>
        <w:spacing w:line="240" w:lineRule="auto"/>
        <w:rPr>
          <w:sz w:val="24"/>
          <w:szCs w:val="24"/>
        </w:rPr>
      </w:pPr>
      <w:r>
        <w:rPr>
          <w:sz w:val="24"/>
          <w:szCs w:val="24"/>
        </w:rPr>
        <w:t xml:space="preserve">CONRADO, Mônica. "Eu carrego comigo sete mulheres: elas viveram e vivem limpando a casa dos outros”: sobre o trabalho doméstico e suas imbricações. In: CAL, Danila Gentil Rodriguez; BRITO, </w:t>
      </w:r>
      <w:proofErr w:type="spellStart"/>
      <w:r>
        <w:rPr>
          <w:sz w:val="24"/>
          <w:szCs w:val="24"/>
        </w:rPr>
        <w:t>Rosaly</w:t>
      </w:r>
      <w:proofErr w:type="spellEnd"/>
      <w:r>
        <w:rPr>
          <w:sz w:val="24"/>
          <w:szCs w:val="24"/>
        </w:rPr>
        <w:t xml:space="preserve"> de Seixas (org.). </w:t>
      </w:r>
      <w:r>
        <w:rPr>
          <w:b/>
          <w:sz w:val="24"/>
          <w:szCs w:val="24"/>
        </w:rPr>
        <w:t>Comunicação, Gênero e Trabalho Doméstico</w:t>
      </w:r>
      <w:r>
        <w:rPr>
          <w:sz w:val="24"/>
          <w:szCs w:val="24"/>
        </w:rPr>
        <w:t xml:space="preserve">: das reiterações coloniais à invenção de outros possíveis. Curitiba: Editora </w:t>
      </w:r>
      <w:proofErr w:type="spellStart"/>
      <w:r>
        <w:rPr>
          <w:sz w:val="24"/>
          <w:szCs w:val="24"/>
        </w:rPr>
        <w:t>Crv</w:t>
      </w:r>
      <w:proofErr w:type="spellEnd"/>
      <w:r>
        <w:rPr>
          <w:sz w:val="24"/>
          <w:szCs w:val="24"/>
        </w:rPr>
        <w:t>, 2020. p. 1-272.</w:t>
      </w:r>
    </w:p>
    <w:p w14:paraId="44CE9929" w14:textId="77777777" w:rsidR="005C2CAA" w:rsidRDefault="005C2CAA">
      <w:pPr>
        <w:spacing w:line="240" w:lineRule="auto"/>
        <w:rPr>
          <w:sz w:val="24"/>
          <w:szCs w:val="24"/>
        </w:rPr>
      </w:pPr>
    </w:p>
    <w:p w14:paraId="44D6A185" w14:textId="77777777" w:rsidR="005C2CAA" w:rsidRDefault="00000000">
      <w:pPr>
        <w:spacing w:line="240" w:lineRule="auto"/>
        <w:rPr>
          <w:sz w:val="24"/>
          <w:szCs w:val="24"/>
        </w:rPr>
      </w:pPr>
      <w:r>
        <w:rPr>
          <w:sz w:val="24"/>
          <w:szCs w:val="24"/>
        </w:rPr>
        <w:t xml:space="preserve">COSTA, Francilene Soares de Medeiros; SANTOS, Cleice Santos; RODRIGUES, Maria Elizabeth Tereza Moraes. Racismo, </w:t>
      </w:r>
      <w:proofErr w:type="spellStart"/>
      <w:r>
        <w:rPr>
          <w:sz w:val="24"/>
          <w:szCs w:val="24"/>
        </w:rPr>
        <w:t>colonialidade</w:t>
      </w:r>
      <w:proofErr w:type="spellEnd"/>
      <w:r>
        <w:rPr>
          <w:sz w:val="24"/>
          <w:szCs w:val="24"/>
        </w:rPr>
        <w:t xml:space="preserve"> do poder e trabalho doméstico remunerado no Brasil. </w:t>
      </w:r>
      <w:r>
        <w:rPr>
          <w:b/>
          <w:sz w:val="24"/>
          <w:szCs w:val="24"/>
        </w:rPr>
        <w:t xml:space="preserve">Revista </w:t>
      </w:r>
      <w:proofErr w:type="spellStart"/>
      <w:r>
        <w:rPr>
          <w:b/>
          <w:sz w:val="24"/>
          <w:szCs w:val="24"/>
        </w:rPr>
        <w:t>Katálysis</w:t>
      </w:r>
      <w:proofErr w:type="spellEnd"/>
      <w:r>
        <w:rPr>
          <w:sz w:val="24"/>
          <w:szCs w:val="24"/>
        </w:rPr>
        <w:t>, v. 25, p. 262-271, 2022.</w:t>
      </w:r>
    </w:p>
    <w:p w14:paraId="78FF4D2B" w14:textId="77777777" w:rsidR="005C2CAA" w:rsidRDefault="005C2CAA">
      <w:pPr>
        <w:spacing w:line="240" w:lineRule="auto"/>
        <w:rPr>
          <w:sz w:val="24"/>
          <w:szCs w:val="24"/>
        </w:rPr>
      </w:pPr>
    </w:p>
    <w:p w14:paraId="7540735D" w14:textId="77777777" w:rsidR="005C2CAA" w:rsidRDefault="00000000">
      <w:pPr>
        <w:spacing w:line="240" w:lineRule="auto"/>
        <w:rPr>
          <w:sz w:val="24"/>
          <w:szCs w:val="24"/>
        </w:rPr>
      </w:pPr>
      <w:proofErr w:type="spellStart"/>
      <w:r>
        <w:rPr>
          <w:sz w:val="24"/>
          <w:szCs w:val="24"/>
        </w:rPr>
        <w:t>FAPESPA</w:t>
      </w:r>
      <w:proofErr w:type="spellEnd"/>
      <w:r>
        <w:rPr>
          <w:sz w:val="24"/>
          <w:szCs w:val="24"/>
        </w:rPr>
        <w:t>. Fundação Amazônia de Amparo a Estudos e Pesquisas).</w:t>
      </w:r>
      <w:r>
        <w:rPr>
          <w:b/>
          <w:sz w:val="24"/>
          <w:szCs w:val="24"/>
        </w:rPr>
        <w:t>Barômetro da Sustentabilidade do Município de Barcarena</w:t>
      </w:r>
      <w:r>
        <w:rPr>
          <w:sz w:val="24"/>
          <w:szCs w:val="24"/>
        </w:rPr>
        <w:t xml:space="preserve">. Governo do Pará, Belém, 2020. Acesso em: </w:t>
      </w:r>
      <w:hyperlink r:id="rId8">
        <w:r>
          <w:rPr>
            <w:sz w:val="24"/>
            <w:szCs w:val="24"/>
          </w:rPr>
          <w:t>https://www.fapespa.pa.gov.br/wp-content/uploads/2023/11/BS-Barcarena-2020.pdf</w:t>
        </w:r>
      </w:hyperlink>
      <w:r>
        <w:rPr>
          <w:sz w:val="24"/>
          <w:szCs w:val="24"/>
        </w:rPr>
        <w:t>. Acesso em: 16 mar. 2025.</w:t>
      </w:r>
    </w:p>
    <w:p w14:paraId="4496A3A8" w14:textId="77777777" w:rsidR="005C2CAA" w:rsidRDefault="005C2CAA">
      <w:pPr>
        <w:spacing w:line="240" w:lineRule="auto"/>
        <w:rPr>
          <w:sz w:val="24"/>
          <w:szCs w:val="24"/>
          <w:highlight w:val="yellow"/>
        </w:rPr>
      </w:pPr>
    </w:p>
    <w:p w14:paraId="62113B05" w14:textId="77777777" w:rsidR="005C2CAA" w:rsidRDefault="00000000">
      <w:pPr>
        <w:spacing w:line="240" w:lineRule="auto"/>
        <w:rPr>
          <w:sz w:val="24"/>
          <w:szCs w:val="24"/>
        </w:rPr>
      </w:pPr>
      <w:hyperlink r:id="rId9">
        <w:r>
          <w:rPr>
            <w:sz w:val="24"/>
            <w:szCs w:val="24"/>
          </w:rPr>
          <w:t xml:space="preserve">HAZEU, Marcel </w:t>
        </w:r>
        <w:proofErr w:type="spellStart"/>
        <w:r>
          <w:rPr>
            <w:sz w:val="24"/>
            <w:szCs w:val="24"/>
          </w:rPr>
          <w:t>Theodoor</w:t>
        </w:r>
        <w:proofErr w:type="spellEnd"/>
      </w:hyperlink>
      <w:r>
        <w:rPr>
          <w:sz w:val="24"/>
          <w:szCs w:val="24"/>
        </w:rPr>
        <w:t xml:space="preserve">; </w:t>
      </w:r>
      <w:hyperlink r:id="rId10">
        <w:r>
          <w:rPr>
            <w:sz w:val="24"/>
            <w:szCs w:val="24"/>
          </w:rPr>
          <w:t xml:space="preserve">COSTA, Solange Maria </w:t>
        </w:r>
        <w:proofErr w:type="spellStart"/>
        <w:r>
          <w:rPr>
            <w:sz w:val="24"/>
            <w:szCs w:val="24"/>
          </w:rPr>
          <w:t>Gayoso</w:t>
        </w:r>
        <w:proofErr w:type="spellEnd"/>
        <w:r>
          <w:rPr>
            <w:sz w:val="24"/>
            <w:szCs w:val="24"/>
          </w:rPr>
          <w:t xml:space="preserve"> Da</w:t>
        </w:r>
      </w:hyperlink>
      <w:r>
        <w:rPr>
          <w:sz w:val="24"/>
          <w:szCs w:val="24"/>
        </w:rPr>
        <w:t xml:space="preserve">. </w:t>
      </w:r>
      <w:r>
        <w:rPr>
          <w:b/>
          <w:sz w:val="24"/>
          <w:szCs w:val="24"/>
        </w:rPr>
        <w:t xml:space="preserve">Amazônia em guerra: (re)existência e disputa territorial em Barcarena. </w:t>
      </w:r>
      <w:r>
        <w:rPr>
          <w:sz w:val="24"/>
          <w:szCs w:val="24"/>
        </w:rPr>
        <w:t xml:space="preserve">1. ed. Belém: </w:t>
      </w:r>
      <w:proofErr w:type="spellStart"/>
      <w:r>
        <w:rPr>
          <w:sz w:val="24"/>
          <w:szCs w:val="24"/>
        </w:rPr>
        <w:t>Paka-Tatu</w:t>
      </w:r>
      <w:proofErr w:type="spellEnd"/>
      <w:r>
        <w:rPr>
          <w:sz w:val="24"/>
          <w:szCs w:val="24"/>
        </w:rPr>
        <w:t>, 2022. v. 1. 142p.</w:t>
      </w:r>
    </w:p>
    <w:p w14:paraId="4A122A99" w14:textId="77777777" w:rsidR="005C2CAA" w:rsidRDefault="005C2CAA">
      <w:pPr>
        <w:spacing w:line="240" w:lineRule="auto"/>
        <w:rPr>
          <w:sz w:val="24"/>
          <w:szCs w:val="24"/>
        </w:rPr>
      </w:pPr>
    </w:p>
    <w:p w14:paraId="35F90C1F" w14:textId="77777777" w:rsidR="005C2CAA" w:rsidRDefault="00000000">
      <w:pPr>
        <w:spacing w:line="240" w:lineRule="auto"/>
        <w:rPr>
          <w:sz w:val="24"/>
          <w:szCs w:val="24"/>
        </w:rPr>
      </w:pPr>
      <w:r>
        <w:rPr>
          <w:sz w:val="24"/>
          <w:szCs w:val="24"/>
        </w:rPr>
        <w:t xml:space="preserve">IBGE. INSTITUTO BRASILEIRO DE GEOGRAFIA E ESTATÍSTICA. </w:t>
      </w:r>
      <w:r>
        <w:rPr>
          <w:b/>
          <w:sz w:val="24"/>
          <w:szCs w:val="24"/>
        </w:rPr>
        <w:t>Dados do censo demográfico</w:t>
      </w:r>
      <w:r>
        <w:rPr>
          <w:sz w:val="24"/>
          <w:szCs w:val="24"/>
        </w:rPr>
        <w:t xml:space="preserve">.Rio de Janeiro: IBGE, 2010. Disponível em: </w:t>
      </w:r>
      <w:hyperlink r:id="rId11">
        <w:r>
          <w:rPr>
            <w:sz w:val="24"/>
            <w:szCs w:val="24"/>
          </w:rPr>
          <w:t>https://cidades.ibge.gov.br/brasil/pa/barcarena/panorama</w:t>
        </w:r>
      </w:hyperlink>
      <w:r>
        <w:rPr>
          <w:sz w:val="24"/>
          <w:szCs w:val="24"/>
        </w:rPr>
        <w:t>. Acesso em: 16 mar. 2025.</w:t>
      </w:r>
    </w:p>
    <w:p w14:paraId="2E52C140" w14:textId="77777777" w:rsidR="005C2CAA" w:rsidRDefault="005C2CAA">
      <w:pPr>
        <w:spacing w:line="240" w:lineRule="auto"/>
        <w:rPr>
          <w:sz w:val="24"/>
          <w:szCs w:val="24"/>
        </w:rPr>
      </w:pPr>
    </w:p>
    <w:p w14:paraId="37CC92BC" w14:textId="77777777" w:rsidR="005C2CAA" w:rsidRDefault="00000000">
      <w:pPr>
        <w:spacing w:line="240" w:lineRule="auto"/>
        <w:rPr>
          <w:sz w:val="24"/>
          <w:szCs w:val="24"/>
        </w:rPr>
      </w:pPr>
      <w:r>
        <w:rPr>
          <w:sz w:val="24"/>
          <w:szCs w:val="24"/>
        </w:rPr>
        <w:t>IBGE.INSTITUTO BRASILEIRO DE GEOGRAFIA E ESTATÍSTICA.</w:t>
      </w:r>
      <w:r>
        <w:rPr>
          <w:b/>
          <w:sz w:val="24"/>
          <w:szCs w:val="24"/>
        </w:rPr>
        <w:t xml:space="preserve"> Pesquisa Nacional por Amostra de Domicílios Contínua (Pnad Contínua)</w:t>
      </w:r>
      <w:r>
        <w:rPr>
          <w:sz w:val="24"/>
          <w:szCs w:val="24"/>
        </w:rPr>
        <w:t>. Dados do 4º trimestre de 2022 sobre Trabalho Doméstico. Rio de Janeiro: IBGE, 2022.</w:t>
      </w:r>
    </w:p>
    <w:p w14:paraId="3E261202" w14:textId="77777777" w:rsidR="005C2CAA" w:rsidRDefault="005C2CAA">
      <w:pPr>
        <w:spacing w:line="240" w:lineRule="auto"/>
        <w:rPr>
          <w:sz w:val="24"/>
          <w:szCs w:val="24"/>
        </w:rPr>
      </w:pPr>
    </w:p>
    <w:p w14:paraId="558DBD27" w14:textId="77777777" w:rsidR="005C2CAA" w:rsidRDefault="00000000">
      <w:pPr>
        <w:spacing w:line="240" w:lineRule="auto"/>
        <w:rPr>
          <w:sz w:val="24"/>
          <w:szCs w:val="24"/>
        </w:rPr>
      </w:pPr>
      <w:r>
        <w:rPr>
          <w:sz w:val="24"/>
          <w:szCs w:val="24"/>
        </w:rPr>
        <w:t xml:space="preserve">KERGOAT, </w:t>
      </w:r>
      <w:proofErr w:type="spellStart"/>
      <w:r>
        <w:rPr>
          <w:sz w:val="24"/>
          <w:szCs w:val="24"/>
        </w:rPr>
        <w:t>Danièle</w:t>
      </w:r>
      <w:proofErr w:type="spellEnd"/>
      <w:r>
        <w:rPr>
          <w:sz w:val="24"/>
          <w:szCs w:val="24"/>
        </w:rPr>
        <w:t xml:space="preserve">. </w:t>
      </w:r>
      <w:r>
        <w:rPr>
          <w:b/>
          <w:sz w:val="24"/>
          <w:szCs w:val="24"/>
        </w:rPr>
        <w:t>Divisão sexual do trabalho e relações sociais de sexo</w:t>
      </w:r>
      <w:r>
        <w:rPr>
          <w:sz w:val="24"/>
          <w:szCs w:val="24"/>
        </w:rPr>
        <w:t>. In: TEIXEIRA, M.; EMÍLIO,M.; NOBRE, M. (org.). Trabalho e cidadania ativa para as mulheres: desafios para as políticas públicas. São Paulo: Coordenadoria Especial da Mulher, 2003. p. 55-64.</w:t>
      </w:r>
    </w:p>
    <w:p w14:paraId="399E669F" w14:textId="77777777" w:rsidR="005C2CAA" w:rsidRDefault="005C2CAA">
      <w:pPr>
        <w:spacing w:line="240" w:lineRule="auto"/>
        <w:rPr>
          <w:sz w:val="24"/>
          <w:szCs w:val="24"/>
        </w:rPr>
      </w:pPr>
    </w:p>
    <w:p w14:paraId="0CD3B95B" w14:textId="77777777" w:rsidR="005C2CAA" w:rsidRDefault="00000000">
      <w:pPr>
        <w:spacing w:line="240" w:lineRule="auto"/>
        <w:rPr>
          <w:b/>
          <w:sz w:val="24"/>
          <w:szCs w:val="24"/>
        </w:rPr>
      </w:pPr>
      <w:r>
        <w:rPr>
          <w:sz w:val="24"/>
          <w:szCs w:val="24"/>
        </w:rPr>
        <w:t xml:space="preserve">LOUREIRO, Violeta </w:t>
      </w:r>
      <w:proofErr w:type="spellStart"/>
      <w:r>
        <w:rPr>
          <w:sz w:val="24"/>
          <w:szCs w:val="24"/>
        </w:rPr>
        <w:t>Refkalefsky</w:t>
      </w:r>
      <w:proofErr w:type="spellEnd"/>
      <w:r>
        <w:rPr>
          <w:sz w:val="24"/>
          <w:szCs w:val="24"/>
        </w:rPr>
        <w:t xml:space="preserve">. Amazônia: uma história de perdas e danos, um futuro a (re) construir. </w:t>
      </w:r>
      <w:r>
        <w:rPr>
          <w:b/>
          <w:sz w:val="24"/>
          <w:szCs w:val="24"/>
        </w:rPr>
        <w:t>Estudos avançados</w:t>
      </w:r>
      <w:r>
        <w:rPr>
          <w:sz w:val="24"/>
          <w:szCs w:val="24"/>
        </w:rPr>
        <w:t>, v. 16, p. 107-121, 2002.</w:t>
      </w:r>
    </w:p>
    <w:p w14:paraId="317A9880" w14:textId="77777777" w:rsidR="005C2CAA" w:rsidRDefault="005C2CAA">
      <w:pPr>
        <w:spacing w:line="240" w:lineRule="auto"/>
        <w:rPr>
          <w:sz w:val="24"/>
          <w:szCs w:val="24"/>
        </w:rPr>
      </w:pPr>
    </w:p>
    <w:p w14:paraId="47392211" w14:textId="77777777" w:rsidR="005C2CAA" w:rsidRDefault="00000000">
      <w:pPr>
        <w:spacing w:line="240" w:lineRule="auto"/>
        <w:rPr>
          <w:sz w:val="24"/>
          <w:szCs w:val="24"/>
        </w:rPr>
      </w:pPr>
      <w:r>
        <w:rPr>
          <w:sz w:val="24"/>
          <w:szCs w:val="24"/>
        </w:rPr>
        <w:t xml:space="preserve">NASCIMENTO, Maria Antonia Cardoso. A feminização do desemprego nos polos desenvolvimentistas do Pará. </w:t>
      </w:r>
      <w:proofErr w:type="spellStart"/>
      <w:r>
        <w:rPr>
          <w:b/>
          <w:sz w:val="24"/>
          <w:szCs w:val="24"/>
        </w:rPr>
        <w:t>Argumentum</w:t>
      </w:r>
      <w:proofErr w:type="spellEnd"/>
      <w:r>
        <w:rPr>
          <w:sz w:val="24"/>
          <w:szCs w:val="24"/>
        </w:rPr>
        <w:t>, v. 8, n. 1, p. 126-139, 2016.</w:t>
      </w:r>
    </w:p>
    <w:p w14:paraId="75DCCF86" w14:textId="77777777" w:rsidR="005C2CAA" w:rsidRDefault="005C2CAA">
      <w:pPr>
        <w:spacing w:line="240" w:lineRule="auto"/>
        <w:rPr>
          <w:sz w:val="24"/>
          <w:szCs w:val="24"/>
        </w:rPr>
      </w:pPr>
    </w:p>
    <w:p w14:paraId="3312305B" w14:textId="77777777" w:rsidR="005C2CAA" w:rsidRDefault="00000000">
      <w:pPr>
        <w:spacing w:line="240" w:lineRule="auto"/>
        <w:rPr>
          <w:sz w:val="24"/>
          <w:szCs w:val="24"/>
        </w:rPr>
      </w:pPr>
      <w:r>
        <w:rPr>
          <w:sz w:val="24"/>
          <w:szCs w:val="24"/>
        </w:rPr>
        <w:t xml:space="preserve">PROFISSÃO REPÓRTER. </w:t>
      </w:r>
      <w:r>
        <w:rPr>
          <w:b/>
          <w:sz w:val="24"/>
          <w:szCs w:val="24"/>
        </w:rPr>
        <w:t>Dez estados brasileiros têm mais de 90% das domésticas sem registro</w:t>
      </w:r>
      <w:r>
        <w:rPr>
          <w:sz w:val="24"/>
          <w:szCs w:val="24"/>
        </w:rPr>
        <w:t xml:space="preserve">. </w:t>
      </w:r>
      <w:proofErr w:type="spellStart"/>
      <w:r>
        <w:rPr>
          <w:sz w:val="24"/>
          <w:szCs w:val="24"/>
        </w:rPr>
        <w:t>Globoplay</w:t>
      </w:r>
      <w:proofErr w:type="spellEnd"/>
      <w:r>
        <w:rPr>
          <w:sz w:val="24"/>
          <w:szCs w:val="24"/>
        </w:rPr>
        <w:t xml:space="preserve">, 30 de junho de 2015. Disponível em: </w:t>
      </w:r>
      <w:hyperlink r:id="rId12">
        <w:r>
          <w:rPr>
            <w:sz w:val="24"/>
            <w:szCs w:val="24"/>
          </w:rPr>
          <w:t>https://globoplay.globo.com/v/4289656/</w:t>
        </w:r>
      </w:hyperlink>
      <w:r>
        <w:rPr>
          <w:sz w:val="24"/>
          <w:szCs w:val="24"/>
        </w:rPr>
        <w:t xml:space="preserve">. Acesso em: 04 set. 2023. </w:t>
      </w:r>
    </w:p>
    <w:p w14:paraId="5BD5E375" w14:textId="77777777" w:rsidR="005C2CAA" w:rsidRDefault="005C2CAA">
      <w:pPr>
        <w:spacing w:line="240" w:lineRule="auto"/>
        <w:rPr>
          <w:sz w:val="24"/>
          <w:szCs w:val="24"/>
        </w:rPr>
      </w:pPr>
    </w:p>
    <w:p w14:paraId="3783D586" w14:textId="77777777" w:rsidR="005C2CAA" w:rsidRDefault="00000000">
      <w:pPr>
        <w:spacing w:line="240" w:lineRule="auto"/>
        <w:rPr>
          <w:sz w:val="24"/>
          <w:szCs w:val="24"/>
        </w:rPr>
      </w:pPr>
      <w:proofErr w:type="spellStart"/>
      <w:r>
        <w:rPr>
          <w:sz w:val="24"/>
          <w:szCs w:val="24"/>
        </w:rPr>
        <w:t>SAGICAD</w:t>
      </w:r>
      <w:proofErr w:type="spellEnd"/>
      <w:r>
        <w:rPr>
          <w:sz w:val="24"/>
          <w:szCs w:val="24"/>
        </w:rPr>
        <w:t xml:space="preserve">. Secretaria de Avaliação, Gestão da Informação e Cadastro Único. </w:t>
      </w:r>
      <w:r>
        <w:rPr>
          <w:b/>
          <w:sz w:val="24"/>
          <w:szCs w:val="24"/>
        </w:rPr>
        <w:t>Indicadores Políticas Públicas MDS</w:t>
      </w:r>
      <w:r>
        <w:rPr>
          <w:sz w:val="24"/>
          <w:szCs w:val="24"/>
        </w:rPr>
        <w:t>. Brasília, 2022. Disponível em: https://aplicacoes.cidadania.gov.br/vis/data3/data-explorer.php. Acesso em: 19 out. 2023.</w:t>
      </w:r>
    </w:p>
    <w:p w14:paraId="57A33D3C" w14:textId="77777777" w:rsidR="005C2CAA" w:rsidRDefault="005C2CAA">
      <w:pPr>
        <w:spacing w:line="240" w:lineRule="auto"/>
        <w:rPr>
          <w:sz w:val="24"/>
          <w:szCs w:val="24"/>
        </w:rPr>
      </w:pPr>
    </w:p>
    <w:p w14:paraId="2C71128C" w14:textId="77777777" w:rsidR="005C2CAA" w:rsidRDefault="00000000">
      <w:pPr>
        <w:spacing w:line="240" w:lineRule="auto"/>
        <w:rPr>
          <w:sz w:val="24"/>
          <w:szCs w:val="24"/>
        </w:rPr>
      </w:pPr>
      <w:r>
        <w:rPr>
          <w:sz w:val="24"/>
          <w:szCs w:val="24"/>
        </w:rPr>
        <w:t>TRINDADE JR., Saint-Clair Cordeiro da.</w:t>
      </w:r>
      <w:r>
        <w:rPr>
          <w:b/>
          <w:sz w:val="24"/>
          <w:szCs w:val="24"/>
        </w:rPr>
        <w:t xml:space="preserve"> Pensando a Concepção de Amazônia.</w:t>
      </w:r>
      <w:r>
        <w:rPr>
          <w:sz w:val="24"/>
          <w:szCs w:val="24"/>
        </w:rPr>
        <w:t xml:space="preserve"> In. SILVA, José </w:t>
      </w:r>
      <w:proofErr w:type="spellStart"/>
      <w:r>
        <w:rPr>
          <w:sz w:val="24"/>
          <w:szCs w:val="24"/>
        </w:rPr>
        <w:t>Borzacchiello</w:t>
      </w:r>
      <w:proofErr w:type="spellEnd"/>
      <w:r>
        <w:rPr>
          <w:sz w:val="24"/>
          <w:szCs w:val="24"/>
        </w:rPr>
        <w:t xml:space="preserve"> da; LIMA, Luiz Cruz; ELIAS, Denise. Org. Panorama da Geografia Brasileira 1. São Paulo: </w:t>
      </w:r>
      <w:proofErr w:type="spellStart"/>
      <w:r>
        <w:rPr>
          <w:sz w:val="24"/>
          <w:szCs w:val="24"/>
        </w:rPr>
        <w:t>Annablume</w:t>
      </w:r>
      <w:proofErr w:type="spellEnd"/>
      <w:r>
        <w:rPr>
          <w:sz w:val="24"/>
          <w:szCs w:val="24"/>
        </w:rPr>
        <w:t>, 2006.</w:t>
      </w:r>
    </w:p>
    <w:sectPr w:rsidR="005C2CAA">
      <w:headerReference w:type="default" r:id="rId13"/>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8639C" w14:textId="77777777" w:rsidR="00CC4491" w:rsidRDefault="00CC4491">
      <w:pPr>
        <w:spacing w:line="240" w:lineRule="auto"/>
      </w:pPr>
      <w:r>
        <w:separator/>
      </w:r>
    </w:p>
  </w:endnote>
  <w:endnote w:type="continuationSeparator" w:id="0">
    <w:p w14:paraId="5C57B549" w14:textId="77777777" w:rsidR="00CC4491" w:rsidRDefault="00CC44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EC46B" w14:textId="77777777" w:rsidR="00CC4491" w:rsidRDefault="00CC4491">
      <w:pPr>
        <w:spacing w:line="240" w:lineRule="auto"/>
      </w:pPr>
      <w:r>
        <w:separator/>
      </w:r>
    </w:p>
  </w:footnote>
  <w:footnote w:type="continuationSeparator" w:id="0">
    <w:p w14:paraId="0AC3E616" w14:textId="77777777" w:rsidR="00CC4491" w:rsidRDefault="00CC4491">
      <w:pPr>
        <w:spacing w:line="240" w:lineRule="auto"/>
      </w:pPr>
      <w:r>
        <w:continuationSeparator/>
      </w:r>
    </w:p>
  </w:footnote>
  <w:footnote w:id="1">
    <w:p w14:paraId="1A217177" w14:textId="77777777" w:rsidR="005C2CAA" w:rsidRDefault="00000000">
      <w:pPr>
        <w:spacing w:line="240" w:lineRule="auto"/>
        <w:jc w:val="both"/>
        <w:rPr>
          <w:sz w:val="20"/>
          <w:szCs w:val="20"/>
        </w:rPr>
      </w:pPr>
      <w:r>
        <w:rPr>
          <w:vertAlign w:val="superscript"/>
        </w:rPr>
        <w:footnoteRef/>
      </w:r>
      <w:r>
        <w:rPr>
          <w:sz w:val="20"/>
          <w:szCs w:val="20"/>
        </w:rPr>
        <w:t xml:space="preserve">Assistente Social. Graduação em Serviço Social pela Universidade Federal do Pará (UFPA). Mestranda no Programa de Pós-Graduação em Serviço Social (PPGSS) da UFPA. E-mail: </w:t>
      </w:r>
      <w:hyperlink r:id="rId1">
        <w:r>
          <w:rPr>
            <w:color w:val="1155CC"/>
            <w:sz w:val="20"/>
            <w:szCs w:val="20"/>
            <w:u w:val="single"/>
          </w:rPr>
          <w:t>cleicesantos.ufpa@gmail.com</w:t>
        </w:r>
      </w:hyperlink>
      <w:r>
        <w:rPr>
          <w:sz w:val="20"/>
          <w:szCs w:val="20"/>
        </w:rPr>
        <w:t>.</w:t>
      </w:r>
    </w:p>
    <w:p w14:paraId="100AA3CC" w14:textId="77777777" w:rsidR="005C2CAA" w:rsidRDefault="005C2CAA">
      <w:pPr>
        <w:spacing w:line="240" w:lineRule="auto"/>
        <w:jc w:val="both"/>
        <w:rPr>
          <w:sz w:val="20"/>
          <w:szCs w:val="20"/>
        </w:rPr>
      </w:pPr>
    </w:p>
  </w:footnote>
  <w:footnote w:id="2">
    <w:p w14:paraId="033A859E" w14:textId="77777777" w:rsidR="005C2CAA" w:rsidRDefault="00000000">
      <w:pPr>
        <w:spacing w:line="240" w:lineRule="auto"/>
        <w:jc w:val="both"/>
        <w:rPr>
          <w:sz w:val="20"/>
          <w:szCs w:val="20"/>
        </w:rPr>
      </w:pPr>
      <w:r>
        <w:rPr>
          <w:vertAlign w:val="superscript"/>
        </w:rPr>
        <w:footnoteRef/>
      </w:r>
      <w:r>
        <w:rPr>
          <w:sz w:val="20"/>
          <w:szCs w:val="20"/>
        </w:rPr>
        <w:t xml:space="preserve"> Professora Associada da Faculdade e do Programa de Pós-Graduação em Serviço Social da Universidade Federal do Pará (UFPA). Doutora em Geografia pela Universidade Estadual Paulista Júlio de Mesquita Filho (UNESP). E-mail: </w:t>
      </w:r>
      <w:hyperlink r:id="rId2">
        <w:r>
          <w:rPr>
            <w:color w:val="1155CC"/>
            <w:sz w:val="20"/>
            <w:szCs w:val="20"/>
            <w:u w:val="single"/>
          </w:rPr>
          <w:t>francilene@ufpa.br</w:t>
        </w:r>
      </w:hyperlink>
      <w:r>
        <w:rPr>
          <w:sz w:val="20"/>
          <w:szCs w:val="20"/>
        </w:rPr>
        <w:t>.</w:t>
      </w:r>
    </w:p>
    <w:p w14:paraId="7724B894" w14:textId="77777777" w:rsidR="005C2CAA" w:rsidRDefault="005C2CAA">
      <w:pPr>
        <w:spacing w:line="240" w:lineRule="auto"/>
        <w:jc w:val="both"/>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ECEF0" w14:textId="77777777" w:rsidR="005C2CAA" w:rsidRDefault="00000000">
    <w:r>
      <w:rPr>
        <w:noProof/>
      </w:rPr>
      <w:drawing>
        <wp:anchor distT="0" distB="0" distL="0" distR="0" simplePos="0" relativeHeight="251658240" behindDoc="1" locked="0" layoutInCell="1" hidden="0" allowOverlap="1" wp14:anchorId="29B0DC51" wp14:editId="0100E36D">
          <wp:simplePos x="0" y="0"/>
          <wp:positionH relativeFrom="page">
            <wp:posOffset>-5854</wp:posOffset>
          </wp:positionH>
          <wp:positionV relativeFrom="page">
            <wp:posOffset>1890</wp:posOffset>
          </wp:positionV>
          <wp:extent cx="7563485" cy="10727690"/>
          <wp:effectExtent l="0" t="0" r="0" b="0"/>
          <wp:wrapNone/>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CAA"/>
    <w:rsid w:val="00192CF7"/>
    <w:rsid w:val="0024467C"/>
    <w:rsid w:val="005C2CAA"/>
    <w:rsid w:val="007C01BB"/>
    <w:rsid w:val="008D5D51"/>
    <w:rsid w:val="00CC44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65D38BA7"/>
  <w15:docId w15:val="{E7396232-17D3-8A46-961D-83330B96A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uiPriority w:val="9"/>
    <w:semiHidden/>
    <w:unhideWhenUsed/>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uiPriority w:val="9"/>
    <w:semiHidden/>
    <w:unhideWhenUsed/>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uiPriority w:val="9"/>
    <w:semiHidden/>
    <w:unhideWhenUsed/>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apespa.pa.gov.br/wp-content/uploads/2023/11/BS-Barcarena-2020.pdf"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lanalto.gov.br/ccivil_03/leis/LCP/Lcp150.htm" TargetMode="External"/><Relationship Id="rId12" Type="http://schemas.openxmlformats.org/officeDocument/2006/relationships/hyperlink" Target="https://globoplay.globo.com/v/4289656/"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idades.ibge.gov.br/brasil/pa/barcarena/panoram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lattes.cnpq.br/2325286514501589" TargetMode="External"/><Relationship Id="rId4" Type="http://schemas.openxmlformats.org/officeDocument/2006/relationships/webSettings" Target="webSettings.xml"/><Relationship Id="rId9" Type="http://schemas.openxmlformats.org/officeDocument/2006/relationships/hyperlink" Target="http://lattes.cnpq.br/1235685116888097"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francilene@ufpa.br" TargetMode="External"/><Relationship Id="rId1" Type="http://schemas.openxmlformats.org/officeDocument/2006/relationships/hyperlink" Target="mailto:cleicesantos.ufp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94IhUTYk2bhkkEDvc6XE14251g==">CgMxLjA4AHIhMTIxdVV2OVhQRHVkQ3BUcnJUei1hcFBWUXpoTzRYNWYw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3777</Words>
  <Characters>20396</Characters>
  <Application>Microsoft Office Word</Application>
  <DocSecurity>0</DocSecurity>
  <Lines>169</Lines>
  <Paragraphs>48</Paragraphs>
  <ScaleCrop>false</ScaleCrop>
  <Company/>
  <LinksUpToDate>false</LinksUpToDate>
  <CharactersWithSpaces>24125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Cleice Santos</cp:lastModifiedBy>
  <cp:revision>4</cp:revision>
  <dcterms:created xsi:type="dcterms:W3CDTF">2025-07-06T21:19:00Z</dcterms:created>
  <dcterms:modified xsi:type="dcterms:W3CDTF">2025-07-06T21:21:00Z</dcterms:modified>
</cp:coreProperties>
</file>