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AA2" w:rsidRDefault="000433E6">
      <w:pPr>
        <w:jc w:val="center"/>
        <w:rPr>
          <w:sz w:val="24"/>
          <w:szCs w:val="24"/>
        </w:rPr>
      </w:pPr>
      <w:r>
        <w:rPr>
          <w:b/>
          <w:sz w:val="24"/>
          <w:szCs w:val="24"/>
        </w:rPr>
        <w:t xml:space="preserve">EXPRESSÕES DO CONSERVADORISMO NA POLÍTICA DE ASSISTÊNCIA SOCIAL: </w:t>
      </w:r>
      <w:r>
        <w:rPr>
          <w:sz w:val="24"/>
          <w:szCs w:val="24"/>
        </w:rPr>
        <w:t>uma análise das particularidades do município de Niterói</w:t>
      </w:r>
    </w:p>
    <w:p w:rsidR="00C76402" w:rsidRDefault="00C76402">
      <w:pPr>
        <w:jc w:val="center"/>
        <w:rPr>
          <w:sz w:val="24"/>
          <w:szCs w:val="24"/>
        </w:rPr>
      </w:pPr>
    </w:p>
    <w:p w:rsidR="00C76402" w:rsidRDefault="00C76402" w:rsidP="00C76402">
      <w:pPr>
        <w:jc w:val="right"/>
        <w:rPr>
          <w:sz w:val="24"/>
          <w:szCs w:val="24"/>
        </w:rPr>
      </w:pPr>
      <w:r>
        <w:rPr>
          <w:sz w:val="24"/>
          <w:szCs w:val="24"/>
        </w:rPr>
        <w:t>Adriana Ramos</w:t>
      </w:r>
      <w:r>
        <w:rPr>
          <w:rStyle w:val="Refdenotadefim"/>
          <w:sz w:val="24"/>
          <w:szCs w:val="24"/>
        </w:rPr>
        <w:endnoteReference w:id="2"/>
      </w:r>
      <w:r>
        <w:rPr>
          <w:sz w:val="24"/>
          <w:szCs w:val="24"/>
        </w:rPr>
        <w:br/>
        <w:t>Juan Carlos Siqueira Cardoso</w:t>
      </w:r>
      <w:r>
        <w:rPr>
          <w:rStyle w:val="Refdenotadefim"/>
          <w:sz w:val="24"/>
          <w:szCs w:val="24"/>
        </w:rPr>
        <w:endnoteReference w:id="3"/>
      </w:r>
    </w:p>
    <w:p w:rsidR="00265AA2" w:rsidRDefault="00265AA2">
      <w:pPr>
        <w:jc w:val="center"/>
        <w:rPr>
          <w:sz w:val="24"/>
          <w:szCs w:val="24"/>
        </w:rPr>
      </w:pPr>
    </w:p>
    <w:p w:rsidR="00265AA2" w:rsidRDefault="00265AA2">
      <w:pPr>
        <w:jc w:val="center"/>
        <w:rPr>
          <w:sz w:val="24"/>
          <w:szCs w:val="24"/>
        </w:rPr>
      </w:pPr>
    </w:p>
    <w:p w:rsidR="00265AA2" w:rsidRDefault="000433E6">
      <w:pPr>
        <w:spacing w:line="240" w:lineRule="auto"/>
        <w:ind w:left="2834"/>
        <w:jc w:val="both"/>
        <w:rPr>
          <w:sz w:val="20"/>
          <w:szCs w:val="20"/>
        </w:rPr>
      </w:pPr>
      <w:r>
        <w:rPr>
          <w:b/>
          <w:sz w:val="20"/>
          <w:szCs w:val="20"/>
        </w:rPr>
        <w:t>Resumo</w:t>
      </w:r>
      <w:r>
        <w:rPr>
          <w:sz w:val="20"/>
          <w:szCs w:val="20"/>
        </w:rPr>
        <w:br/>
        <w:t xml:space="preserve">O presente trabalho se trata de um estudo bibliográfico sobre a Política de Assistência Social, e analisa, subsidiado numa perspectiva do campo da tradição marxista, a proposta do Programa de Acolhimento Humanizado no município de Niterói, no Rio de Janeiro, que se propõe a prestar um tratamento humanizado </w:t>
      </w:r>
      <w:r w:rsidR="00C76402">
        <w:rPr>
          <w:sz w:val="20"/>
          <w:szCs w:val="20"/>
        </w:rPr>
        <w:t>à população</w:t>
      </w:r>
      <w:r>
        <w:rPr>
          <w:sz w:val="20"/>
          <w:szCs w:val="20"/>
        </w:rPr>
        <w:t xml:space="preserve"> em situação de rua em uso abusivo de álcool e/ou outras drogas e/ou transtornos mentais. Buscando o entendimento de como essa expressão da questão social é tratada pelo poder público local, constatamos que mesmo que seus conteúdos demonstrem um caráter progressista, identificamos que, ainda assim, existem pressupostos com tendências conservadoras nas linhas de ação estabelecidas.</w:t>
      </w:r>
    </w:p>
    <w:p w:rsidR="00265AA2" w:rsidRDefault="000433E6">
      <w:pPr>
        <w:ind w:left="2834"/>
        <w:jc w:val="both"/>
        <w:rPr>
          <w:sz w:val="20"/>
          <w:szCs w:val="20"/>
        </w:rPr>
      </w:pPr>
      <w:r>
        <w:rPr>
          <w:b/>
          <w:sz w:val="20"/>
          <w:szCs w:val="20"/>
        </w:rPr>
        <w:t>Palavras-chaves:</w:t>
      </w:r>
      <w:r w:rsidR="004C6679">
        <w:rPr>
          <w:b/>
          <w:sz w:val="20"/>
          <w:szCs w:val="20"/>
        </w:rPr>
        <w:t xml:space="preserve"> </w:t>
      </w:r>
      <w:r>
        <w:rPr>
          <w:sz w:val="20"/>
          <w:szCs w:val="20"/>
        </w:rPr>
        <w:t>Conservadorismo, questão social; Assistência Social</w:t>
      </w:r>
    </w:p>
    <w:p w:rsidR="00265AA2" w:rsidRDefault="00265AA2">
      <w:pPr>
        <w:jc w:val="both"/>
        <w:rPr>
          <w:sz w:val="20"/>
          <w:szCs w:val="20"/>
        </w:rPr>
      </w:pPr>
    </w:p>
    <w:p w:rsidR="00265AA2" w:rsidRPr="00CD3956" w:rsidRDefault="000433E6">
      <w:pPr>
        <w:spacing w:line="240" w:lineRule="auto"/>
        <w:ind w:left="2834"/>
        <w:jc w:val="both"/>
        <w:rPr>
          <w:sz w:val="20"/>
          <w:szCs w:val="20"/>
          <w:lang w:val="en-US"/>
        </w:rPr>
      </w:pPr>
      <w:r w:rsidRPr="00CD3956">
        <w:rPr>
          <w:b/>
          <w:sz w:val="20"/>
          <w:szCs w:val="20"/>
          <w:lang w:val="en-US"/>
        </w:rPr>
        <w:t>Abstract</w:t>
      </w:r>
      <w:r w:rsidRPr="00CD3956">
        <w:rPr>
          <w:sz w:val="20"/>
          <w:szCs w:val="20"/>
          <w:lang w:val="en-US"/>
        </w:rPr>
        <w:t>:</w:t>
      </w:r>
      <w:r w:rsidR="003239B1" w:rsidRPr="00CD3956">
        <w:rPr>
          <w:sz w:val="20"/>
          <w:szCs w:val="20"/>
          <w:lang w:val="en-US"/>
        </w:rPr>
        <w:t xml:space="preserve"> </w:t>
      </w:r>
      <w:r w:rsidRPr="00CD3956">
        <w:rPr>
          <w:color w:val="111111"/>
          <w:sz w:val="20"/>
          <w:szCs w:val="20"/>
          <w:lang w:val="en-US"/>
        </w:rPr>
        <w:t>This</w:t>
      </w:r>
      <w:r w:rsidR="003239B1" w:rsidRPr="00CD3956">
        <w:rPr>
          <w:color w:val="111111"/>
          <w:sz w:val="20"/>
          <w:szCs w:val="20"/>
          <w:lang w:val="en-US"/>
        </w:rPr>
        <w:t xml:space="preserve"> </w:t>
      </w:r>
      <w:r w:rsidRPr="00CD3956">
        <w:rPr>
          <w:color w:val="111111"/>
          <w:sz w:val="20"/>
          <w:szCs w:val="20"/>
          <w:lang w:val="en-US"/>
        </w:rPr>
        <w:t>paper</w:t>
      </w:r>
      <w:r w:rsidR="003239B1" w:rsidRPr="00CD3956">
        <w:rPr>
          <w:color w:val="111111"/>
          <w:sz w:val="20"/>
          <w:szCs w:val="20"/>
          <w:lang w:val="en-US"/>
        </w:rPr>
        <w:t xml:space="preserve"> </w:t>
      </w:r>
      <w:r w:rsidRPr="00CD3956">
        <w:rPr>
          <w:color w:val="111111"/>
          <w:sz w:val="20"/>
          <w:szCs w:val="20"/>
          <w:lang w:val="en-US"/>
        </w:rPr>
        <w:t>is a bibliographic</w:t>
      </w:r>
      <w:r w:rsidR="003239B1" w:rsidRPr="00CD3956">
        <w:rPr>
          <w:color w:val="111111"/>
          <w:sz w:val="20"/>
          <w:szCs w:val="20"/>
          <w:lang w:val="en-US"/>
        </w:rPr>
        <w:t xml:space="preserve"> </w:t>
      </w:r>
      <w:r w:rsidRPr="00CD3956">
        <w:rPr>
          <w:color w:val="111111"/>
          <w:sz w:val="20"/>
          <w:szCs w:val="20"/>
          <w:lang w:val="en-US"/>
        </w:rPr>
        <w:t>study</w:t>
      </w:r>
      <w:r w:rsidR="003239B1" w:rsidRPr="00CD3956">
        <w:rPr>
          <w:color w:val="111111"/>
          <w:sz w:val="20"/>
          <w:szCs w:val="20"/>
          <w:lang w:val="en-US"/>
        </w:rPr>
        <w:t xml:space="preserve"> </w:t>
      </w:r>
      <w:r w:rsidRPr="00CD3956">
        <w:rPr>
          <w:color w:val="111111"/>
          <w:sz w:val="20"/>
          <w:szCs w:val="20"/>
          <w:lang w:val="en-US"/>
        </w:rPr>
        <w:t>on Social Assistance</w:t>
      </w:r>
      <w:r w:rsidR="003239B1" w:rsidRPr="00CD3956">
        <w:rPr>
          <w:color w:val="111111"/>
          <w:sz w:val="20"/>
          <w:szCs w:val="20"/>
          <w:lang w:val="en-US"/>
        </w:rPr>
        <w:t xml:space="preserve"> </w:t>
      </w:r>
      <w:r w:rsidRPr="00CD3956">
        <w:rPr>
          <w:color w:val="111111"/>
          <w:sz w:val="20"/>
          <w:szCs w:val="20"/>
          <w:lang w:val="en-US"/>
        </w:rPr>
        <w:t>Policy</w:t>
      </w:r>
      <w:r w:rsidR="003239B1" w:rsidRPr="00CD3956">
        <w:rPr>
          <w:color w:val="111111"/>
          <w:sz w:val="20"/>
          <w:szCs w:val="20"/>
          <w:lang w:val="en-US"/>
        </w:rPr>
        <w:t xml:space="preserve"> and a</w:t>
      </w:r>
      <w:r w:rsidRPr="00CD3956">
        <w:rPr>
          <w:color w:val="111111"/>
          <w:sz w:val="20"/>
          <w:szCs w:val="20"/>
          <w:lang w:val="en-US"/>
        </w:rPr>
        <w:t>nalyzes, based</w:t>
      </w:r>
      <w:r w:rsidR="003239B1" w:rsidRPr="00CD3956">
        <w:rPr>
          <w:color w:val="111111"/>
          <w:sz w:val="20"/>
          <w:szCs w:val="20"/>
          <w:lang w:val="en-US"/>
        </w:rPr>
        <w:t xml:space="preserve"> </w:t>
      </w:r>
      <w:r w:rsidRPr="00CD3956">
        <w:rPr>
          <w:color w:val="111111"/>
          <w:sz w:val="20"/>
          <w:szCs w:val="20"/>
          <w:lang w:val="en-US"/>
        </w:rPr>
        <w:t>on a perspective of</w:t>
      </w:r>
      <w:r w:rsidR="003239B1" w:rsidRPr="00CD3956">
        <w:rPr>
          <w:color w:val="111111"/>
          <w:sz w:val="20"/>
          <w:szCs w:val="20"/>
          <w:lang w:val="en-US"/>
        </w:rPr>
        <w:t xml:space="preserve"> </w:t>
      </w:r>
      <w:r w:rsidRPr="00CD3956">
        <w:rPr>
          <w:color w:val="111111"/>
          <w:sz w:val="20"/>
          <w:szCs w:val="20"/>
          <w:lang w:val="en-US"/>
        </w:rPr>
        <w:t>the</w:t>
      </w:r>
      <w:r w:rsidR="003239B1" w:rsidRPr="00CD3956">
        <w:rPr>
          <w:color w:val="111111"/>
          <w:sz w:val="20"/>
          <w:szCs w:val="20"/>
          <w:lang w:val="en-US"/>
        </w:rPr>
        <w:t xml:space="preserve"> </w:t>
      </w:r>
      <w:r w:rsidRPr="00CD3956">
        <w:rPr>
          <w:color w:val="111111"/>
          <w:sz w:val="20"/>
          <w:szCs w:val="20"/>
          <w:lang w:val="en-US"/>
        </w:rPr>
        <w:t>Marxist</w:t>
      </w:r>
      <w:r w:rsidR="003239B1" w:rsidRPr="00CD3956">
        <w:rPr>
          <w:color w:val="111111"/>
          <w:sz w:val="20"/>
          <w:szCs w:val="20"/>
          <w:lang w:val="en-US"/>
        </w:rPr>
        <w:t xml:space="preserve"> </w:t>
      </w:r>
      <w:r w:rsidRPr="00CD3956">
        <w:rPr>
          <w:color w:val="111111"/>
          <w:sz w:val="20"/>
          <w:szCs w:val="20"/>
          <w:lang w:val="en-US"/>
        </w:rPr>
        <w:t>tradition, the</w:t>
      </w:r>
      <w:r w:rsidR="003239B1" w:rsidRPr="00CD3956">
        <w:rPr>
          <w:color w:val="111111"/>
          <w:sz w:val="20"/>
          <w:szCs w:val="20"/>
          <w:lang w:val="en-US"/>
        </w:rPr>
        <w:t xml:space="preserve"> </w:t>
      </w:r>
      <w:r w:rsidRPr="00CD3956">
        <w:rPr>
          <w:color w:val="111111"/>
          <w:sz w:val="20"/>
          <w:szCs w:val="20"/>
          <w:lang w:val="en-US"/>
        </w:rPr>
        <w:t>proposal</w:t>
      </w:r>
      <w:r w:rsidR="003239B1" w:rsidRPr="00CD3956">
        <w:rPr>
          <w:color w:val="111111"/>
          <w:sz w:val="20"/>
          <w:szCs w:val="20"/>
          <w:lang w:val="en-US"/>
        </w:rPr>
        <w:t xml:space="preserve"> of t</w:t>
      </w:r>
      <w:r w:rsidRPr="00CD3956">
        <w:rPr>
          <w:color w:val="111111"/>
          <w:sz w:val="20"/>
          <w:szCs w:val="20"/>
          <w:lang w:val="en-US"/>
        </w:rPr>
        <w:t>he</w:t>
      </w:r>
      <w:r w:rsidR="003239B1" w:rsidRPr="00CD3956">
        <w:rPr>
          <w:color w:val="111111"/>
          <w:sz w:val="20"/>
          <w:szCs w:val="20"/>
          <w:lang w:val="en-US"/>
        </w:rPr>
        <w:t xml:space="preserve"> </w:t>
      </w:r>
      <w:r w:rsidRPr="00CD3956">
        <w:rPr>
          <w:color w:val="111111"/>
          <w:sz w:val="20"/>
          <w:szCs w:val="20"/>
          <w:lang w:val="en-US"/>
        </w:rPr>
        <w:t>Humanized</w:t>
      </w:r>
      <w:r w:rsidR="003239B1" w:rsidRPr="00CD3956">
        <w:rPr>
          <w:color w:val="111111"/>
          <w:sz w:val="20"/>
          <w:szCs w:val="20"/>
          <w:lang w:val="en-US"/>
        </w:rPr>
        <w:t xml:space="preserve"> </w:t>
      </w:r>
      <w:r w:rsidRPr="00CD3956">
        <w:rPr>
          <w:color w:val="111111"/>
          <w:sz w:val="20"/>
          <w:szCs w:val="20"/>
          <w:lang w:val="en-US"/>
        </w:rPr>
        <w:t>Reception</w:t>
      </w:r>
      <w:r w:rsidR="003239B1" w:rsidRPr="00CD3956">
        <w:rPr>
          <w:color w:val="111111"/>
          <w:sz w:val="20"/>
          <w:szCs w:val="20"/>
          <w:lang w:val="en-US"/>
        </w:rPr>
        <w:t xml:space="preserve"> </w:t>
      </w:r>
      <w:r w:rsidRPr="00CD3956">
        <w:rPr>
          <w:color w:val="111111"/>
          <w:sz w:val="20"/>
          <w:szCs w:val="20"/>
          <w:lang w:val="en-US"/>
        </w:rPr>
        <w:t>Program in the</w:t>
      </w:r>
      <w:r w:rsidR="003239B1" w:rsidRPr="00CD3956">
        <w:rPr>
          <w:color w:val="111111"/>
          <w:sz w:val="20"/>
          <w:szCs w:val="20"/>
          <w:lang w:val="en-US"/>
        </w:rPr>
        <w:t xml:space="preserve"> </w:t>
      </w:r>
      <w:r w:rsidRPr="00CD3956">
        <w:rPr>
          <w:color w:val="111111"/>
          <w:sz w:val="20"/>
          <w:szCs w:val="20"/>
          <w:lang w:val="en-US"/>
        </w:rPr>
        <w:t>municipality</w:t>
      </w:r>
      <w:r w:rsidR="003239B1" w:rsidRPr="00CD3956">
        <w:rPr>
          <w:color w:val="111111"/>
          <w:sz w:val="20"/>
          <w:szCs w:val="20"/>
          <w:lang w:val="en-US"/>
        </w:rPr>
        <w:t xml:space="preserve"> </w:t>
      </w:r>
      <w:r w:rsidRPr="00CD3956">
        <w:rPr>
          <w:color w:val="111111"/>
          <w:sz w:val="20"/>
          <w:szCs w:val="20"/>
          <w:lang w:val="en-US"/>
        </w:rPr>
        <w:t>of Niterói, in Rio de Janeiro, which</w:t>
      </w:r>
      <w:r w:rsidR="003239B1" w:rsidRPr="00CD3956">
        <w:rPr>
          <w:color w:val="111111"/>
          <w:sz w:val="20"/>
          <w:szCs w:val="20"/>
          <w:lang w:val="en-US"/>
        </w:rPr>
        <w:t xml:space="preserve"> </w:t>
      </w:r>
      <w:r w:rsidRPr="00CD3956">
        <w:rPr>
          <w:color w:val="111111"/>
          <w:sz w:val="20"/>
          <w:szCs w:val="20"/>
          <w:lang w:val="en-US"/>
        </w:rPr>
        <w:t>aims</w:t>
      </w:r>
      <w:r w:rsidR="003239B1" w:rsidRPr="00CD3956">
        <w:rPr>
          <w:color w:val="111111"/>
          <w:sz w:val="20"/>
          <w:szCs w:val="20"/>
          <w:lang w:val="en-US"/>
        </w:rPr>
        <w:t xml:space="preserve"> </w:t>
      </w:r>
      <w:r w:rsidRPr="00CD3956">
        <w:rPr>
          <w:color w:val="111111"/>
          <w:sz w:val="20"/>
          <w:szCs w:val="20"/>
          <w:lang w:val="en-US"/>
        </w:rPr>
        <w:t>to</w:t>
      </w:r>
      <w:r w:rsidR="003239B1" w:rsidRPr="00CD3956">
        <w:rPr>
          <w:color w:val="111111"/>
          <w:sz w:val="20"/>
          <w:szCs w:val="20"/>
          <w:lang w:val="en-US"/>
        </w:rPr>
        <w:t xml:space="preserve"> </w:t>
      </w:r>
      <w:r w:rsidRPr="00CD3956">
        <w:rPr>
          <w:color w:val="111111"/>
          <w:sz w:val="20"/>
          <w:szCs w:val="20"/>
          <w:lang w:val="en-US"/>
        </w:rPr>
        <w:t>provide</w:t>
      </w:r>
      <w:r w:rsidR="003239B1" w:rsidRPr="00CD3956">
        <w:rPr>
          <w:color w:val="111111"/>
          <w:sz w:val="20"/>
          <w:szCs w:val="20"/>
          <w:lang w:val="en-US"/>
        </w:rPr>
        <w:t xml:space="preserve"> </w:t>
      </w:r>
      <w:r w:rsidRPr="00CD3956">
        <w:rPr>
          <w:color w:val="111111"/>
          <w:sz w:val="20"/>
          <w:szCs w:val="20"/>
          <w:lang w:val="en-US"/>
        </w:rPr>
        <w:t>humanized</w:t>
      </w:r>
      <w:r w:rsidR="003239B1" w:rsidRPr="00CD3956">
        <w:rPr>
          <w:color w:val="111111"/>
          <w:sz w:val="20"/>
          <w:szCs w:val="20"/>
          <w:lang w:val="en-US"/>
        </w:rPr>
        <w:t xml:space="preserve"> </w:t>
      </w:r>
      <w:r w:rsidRPr="00CD3956">
        <w:rPr>
          <w:color w:val="111111"/>
          <w:sz w:val="20"/>
          <w:szCs w:val="20"/>
          <w:lang w:val="en-US"/>
        </w:rPr>
        <w:t>treatment</w:t>
      </w:r>
      <w:r w:rsidR="003239B1" w:rsidRPr="00CD3956">
        <w:rPr>
          <w:color w:val="111111"/>
          <w:sz w:val="20"/>
          <w:szCs w:val="20"/>
          <w:lang w:val="en-US"/>
        </w:rPr>
        <w:t xml:space="preserve"> </w:t>
      </w:r>
      <w:r w:rsidRPr="00CD3956">
        <w:rPr>
          <w:color w:val="111111"/>
          <w:sz w:val="20"/>
          <w:szCs w:val="20"/>
          <w:lang w:val="en-US"/>
        </w:rPr>
        <w:t>to</w:t>
      </w:r>
      <w:r w:rsidR="003239B1" w:rsidRPr="00CD3956">
        <w:rPr>
          <w:color w:val="111111"/>
          <w:sz w:val="20"/>
          <w:szCs w:val="20"/>
          <w:lang w:val="en-US"/>
        </w:rPr>
        <w:t xml:space="preserve"> </w:t>
      </w:r>
      <w:r w:rsidRPr="00CD3956">
        <w:rPr>
          <w:color w:val="111111"/>
          <w:sz w:val="20"/>
          <w:szCs w:val="20"/>
          <w:lang w:val="en-US"/>
        </w:rPr>
        <w:t>the</w:t>
      </w:r>
      <w:r w:rsidR="003239B1" w:rsidRPr="00CD3956">
        <w:rPr>
          <w:color w:val="111111"/>
          <w:sz w:val="20"/>
          <w:szCs w:val="20"/>
          <w:lang w:val="en-US"/>
        </w:rPr>
        <w:t xml:space="preserve"> </w:t>
      </w:r>
      <w:r w:rsidRPr="00CD3956">
        <w:rPr>
          <w:color w:val="111111"/>
          <w:sz w:val="20"/>
          <w:szCs w:val="20"/>
          <w:lang w:val="en-US"/>
        </w:rPr>
        <w:t>homeless</w:t>
      </w:r>
      <w:r w:rsidR="003239B1" w:rsidRPr="00CD3956">
        <w:rPr>
          <w:color w:val="111111"/>
          <w:sz w:val="20"/>
          <w:szCs w:val="20"/>
          <w:lang w:val="en-US"/>
        </w:rPr>
        <w:t xml:space="preserve"> </w:t>
      </w:r>
      <w:r w:rsidRPr="00CD3956">
        <w:rPr>
          <w:color w:val="111111"/>
          <w:sz w:val="20"/>
          <w:szCs w:val="20"/>
          <w:lang w:val="en-US"/>
        </w:rPr>
        <w:t>population</w:t>
      </w:r>
      <w:r w:rsidR="003239B1" w:rsidRPr="00CD3956">
        <w:rPr>
          <w:color w:val="111111"/>
          <w:sz w:val="20"/>
          <w:szCs w:val="20"/>
          <w:lang w:val="en-US"/>
        </w:rPr>
        <w:t xml:space="preserve"> </w:t>
      </w:r>
      <w:r w:rsidR="004C6679">
        <w:rPr>
          <w:color w:val="111111"/>
          <w:sz w:val="20"/>
          <w:szCs w:val="20"/>
          <w:lang w:val="en-US"/>
        </w:rPr>
        <w:t>with a</w:t>
      </w:r>
      <w:r w:rsidRPr="00CD3956">
        <w:rPr>
          <w:color w:val="111111"/>
          <w:sz w:val="20"/>
          <w:szCs w:val="20"/>
          <w:lang w:val="en-US"/>
        </w:rPr>
        <w:t>busive use of</w:t>
      </w:r>
      <w:r w:rsidR="003239B1" w:rsidRPr="00CD3956">
        <w:rPr>
          <w:color w:val="111111"/>
          <w:sz w:val="20"/>
          <w:szCs w:val="20"/>
          <w:lang w:val="en-US"/>
        </w:rPr>
        <w:t xml:space="preserve"> </w:t>
      </w:r>
      <w:r w:rsidRPr="00CD3956">
        <w:rPr>
          <w:color w:val="111111"/>
          <w:sz w:val="20"/>
          <w:szCs w:val="20"/>
          <w:lang w:val="en-US"/>
        </w:rPr>
        <w:t>alcohol</w:t>
      </w:r>
      <w:r w:rsidR="003239B1" w:rsidRPr="00CD3956">
        <w:rPr>
          <w:color w:val="111111"/>
          <w:sz w:val="20"/>
          <w:szCs w:val="20"/>
          <w:lang w:val="en-US"/>
        </w:rPr>
        <w:t xml:space="preserve"> </w:t>
      </w:r>
      <w:r w:rsidRPr="00CD3956">
        <w:rPr>
          <w:color w:val="111111"/>
          <w:sz w:val="20"/>
          <w:szCs w:val="20"/>
          <w:lang w:val="en-US"/>
        </w:rPr>
        <w:t>and/or</w:t>
      </w:r>
      <w:r w:rsidR="003239B1" w:rsidRPr="00CD3956">
        <w:rPr>
          <w:color w:val="111111"/>
          <w:sz w:val="20"/>
          <w:szCs w:val="20"/>
          <w:lang w:val="en-US"/>
        </w:rPr>
        <w:t xml:space="preserve"> </w:t>
      </w:r>
      <w:r w:rsidRPr="00CD3956">
        <w:rPr>
          <w:color w:val="111111"/>
          <w:sz w:val="20"/>
          <w:szCs w:val="20"/>
          <w:lang w:val="en-US"/>
        </w:rPr>
        <w:t>other</w:t>
      </w:r>
      <w:r w:rsidR="003239B1" w:rsidRPr="00CD3956">
        <w:rPr>
          <w:color w:val="111111"/>
          <w:sz w:val="20"/>
          <w:szCs w:val="20"/>
          <w:lang w:val="en-US"/>
        </w:rPr>
        <w:t xml:space="preserve"> </w:t>
      </w:r>
      <w:r w:rsidRPr="00CD3956">
        <w:rPr>
          <w:color w:val="111111"/>
          <w:sz w:val="20"/>
          <w:szCs w:val="20"/>
          <w:lang w:val="en-US"/>
        </w:rPr>
        <w:t>drugs</w:t>
      </w:r>
      <w:r w:rsidR="003239B1" w:rsidRPr="00CD3956">
        <w:rPr>
          <w:color w:val="111111"/>
          <w:sz w:val="20"/>
          <w:szCs w:val="20"/>
          <w:lang w:val="en-US"/>
        </w:rPr>
        <w:t xml:space="preserve"> </w:t>
      </w:r>
      <w:r w:rsidRPr="00CD3956">
        <w:rPr>
          <w:color w:val="111111"/>
          <w:sz w:val="20"/>
          <w:szCs w:val="20"/>
          <w:lang w:val="en-US"/>
        </w:rPr>
        <w:t>and/or mental disorders. Seeking</w:t>
      </w:r>
      <w:r w:rsidR="003239B1" w:rsidRPr="00CD3956">
        <w:rPr>
          <w:color w:val="111111"/>
          <w:sz w:val="20"/>
          <w:szCs w:val="20"/>
          <w:lang w:val="en-US"/>
        </w:rPr>
        <w:t xml:space="preserve"> </w:t>
      </w:r>
      <w:r w:rsidRPr="00CD3956">
        <w:rPr>
          <w:color w:val="111111"/>
          <w:sz w:val="20"/>
          <w:szCs w:val="20"/>
          <w:lang w:val="en-US"/>
        </w:rPr>
        <w:t>to</w:t>
      </w:r>
      <w:r w:rsidR="003239B1" w:rsidRPr="00CD3956">
        <w:rPr>
          <w:color w:val="111111"/>
          <w:sz w:val="20"/>
          <w:szCs w:val="20"/>
          <w:lang w:val="en-US"/>
        </w:rPr>
        <w:t xml:space="preserve"> </w:t>
      </w:r>
      <w:r w:rsidRPr="00CD3956">
        <w:rPr>
          <w:color w:val="111111"/>
          <w:sz w:val="20"/>
          <w:szCs w:val="20"/>
          <w:lang w:val="en-US"/>
        </w:rPr>
        <w:t>understand</w:t>
      </w:r>
      <w:r w:rsidR="003239B1" w:rsidRPr="00CD3956">
        <w:rPr>
          <w:color w:val="111111"/>
          <w:sz w:val="20"/>
          <w:szCs w:val="20"/>
          <w:lang w:val="en-US"/>
        </w:rPr>
        <w:t xml:space="preserve"> </w:t>
      </w:r>
      <w:r w:rsidRPr="00CD3956">
        <w:rPr>
          <w:color w:val="111111"/>
          <w:sz w:val="20"/>
          <w:szCs w:val="20"/>
          <w:lang w:val="en-US"/>
        </w:rPr>
        <w:t>how</w:t>
      </w:r>
      <w:r w:rsidR="003239B1" w:rsidRPr="00CD3956">
        <w:rPr>
          <w:color w:val="111111"/>
          <w:sz w:val="20"/>
          <w:szCs w:val="20"/>
          <w:lang w:val="en-US"/>
        </w:rPr>
        <w:t xml:space="preserve"> </w:t>
      </w:r>
      <w:r w:rsidRPr="00CD3956">
        <w:rPr>
          <w:color w:val="111111"/>
          <w:sz w:val="20"/>
          <w:szCs w:val="20"/>
          <w:lang w:val="en-US"/>
        </w:rPr>
        <w:t>this</w:t>
      </w:r>
      <w:r w:rsidR="003239B1" w:rsidRPr="00CD3956">
        <w:rPr>
          <w:color w:val="111111"/>
          <w:sz w:val="20"/>
          <w:szCs w:val="20"/>
          <w:lang w:val="en-US"/>
        </w:rPr>
        <w:t xml:space="preserve"> </w:t>
      </w:r>
      <w:r w:rsidRPr="00CD3956">
        <w:rPr>
          <w:color w:val="111111"/>
          <w:sz w:val="20"/>
          <w:szCs w:val="20"/>
          <w:lang w:val="en-US"/>
        </w:rPr>
        <w:t>expression</w:t>
      </w:r>
      <w:r w:rsidR="003239B1" w:rsidRPr="00CD3956">
        <w:rPr>
          <w:color w:val="111111"/>
          <w:sz w:val="20"/>
          <w:szCs w:val="20"/>
          <w:lang w:val="en-US"/>
        </w:rPr>
        <w:t xml:space="preserve"> </w:t>
      </w:r>
      <w:r w:rsidRPr="00CD3956">
        <w:rPr>
          <w:color w:val="111111"/>
          <w:sz w:val="20"/>
          <w:szCs w:val="20"/>
          <w:lang w:val="en-US"/>
        </w:rPr>
        <w:t>of</w:t>
      </w:r>
      <w:r w:rsidR="003239B1" w:rsidRPr="00CD3956">
        <w:rPr>
          <w:color w:val="111111"/>
          <w:sz w:val="20"/>
          <w:szCs w:val="20"/>
          <w:lang w:val="en-US"/>
        </w:rPr>
        <w:t xml:space="preserve"> </w:t>
      </w:r>
      <w:r w:rsidRPr="00CD3956">
        <w:rPr>
          <w:color w:val="111111"/>
          <w:sz w:val="20"/>
          <w:szCs w:val="20"/>
          <w:lang w:val="en-US"/>
        </w:rPr>
        <w:t>the social issue</w:t>
      </w:r>
      <w:r w:rsidR="003239B1" w:rsidRPr="00CD3956">
        <w:rPr>
          <w:color w:val="111111"/>
          <w:sz w:val="20"/>
          <w:szCs w:val="20"/>
          <w:lang w:val="en-US"/>
        </w:rPr>
        <w:t xml:space="preserve"> </w:t>
      </w:r>
      <w:r w:rsidRPr="00CD3956">
        <w:rPr>
          <w:color w:val="111111"/>
          <w:sz w:val="20"/>
          <w:szCs w:val="20"/>
          <w:lang w:val="en-US"/>
        </w:rPr>
        <w:t>is</w:t>
      </w:r>
      <w:r w:rsidR="003239B1" w:rsidRPr="00CD3956">
        <w:rPr>
          <w:color w:val="111111"/>
          <w:sz w:val="20"/>
          <w:szCs w:val="20"/>
          <w:lang w:val="en-US"/>
        </w:rPr>
        <w:t xml:space="preserve"> </w:t>
      </w:r>
      <w:r w:rsidRPr="00CD3956">
        <w:rPr>
          <w:color w:val="111111"/>
          <w:sz w:val="20"/>
          <w:szCs w:val="20"/>
          <w:lang w:val="en-US"/>
        </w:rPr>
        <w:t>addressed</w:t>
      </w:r>
      <w:r w:rsidR="003239B1" w:rsidRPr="00CD3956">
        <w:rPr>
          <w:color w:val="111111"/>
          <w:sz w:val="20"/>
          <w:szCs w:val="20"/>
          <w:lang w:val="en-US"/>
        </w:rPr>
        <w:t xml:space="preserve"> </w:t>
      </w:r>
      <w:r w:rsidRPr="00CD3956">
        <w:rPr>
          <w:color w:val="111111"/>
          <w:sz w:val="20"/>
          <w:szCs w:val="20"/>
          <w:lang w:val="en-US"/>
        </w:rPr>
        <w:t>by</w:t>
      </w:r>
      <w:r w:rsidR="003239B1" w:rsidRPr="00CD3956">
        <w:rPr>
          <w:color w:val="111111"/>
          <w:sz w:val="20"/>
          <w:szCs w:val="20"/>
          <w:lang w:val="en-US"/>
        </w:rPr>
        <w:t xml:space="preserve"> </w:t>
      </w:r>
      <w:r w:rsidRPr="00CD3956">
        <w:rPr>
          <w:color w:val="111111"/>
          <w:sz w:val="20"/>
          <w:szCs w:val="20"/>
          <w:lang w:val="en-US"/>
        </w:rPr>
        <w:t>the local government, we</w:t>
      </w:r>
      <w:r w:rsidR="003239B1" w:rsidRPr="00CD3956">
        <w:rPr>
          <w:color w:val="111111"/>
          <w:sz w:val="20"/>
          <w:szCs w:val="20"/>
          <w:lang w:val="en-US"/>
        </w:rPr>
        <w:t xml:space="preserve"> </w:t>
      </w:r>
      <w:r w:rsidRPr="00CD3956">
        <w:rPr>
          <w:color w:val="111111"/>
          <w:sz w:val="20"/>
          <w:szCs w:val="20"/>
          <w:lang w:val="en-US"/>
        </w:rPr>
        <w:t>observed</w:t>
      </w:r>
      <w:r w:rsidR="003239B1" w:rsidRPr="00CD3956">
        <w:rPr>
          <w:color w:val="111111"/>
          <w:sz w:val="20"/>
          <w:szCs w:val="20"/>
          <w:lang w:val="en-US"/>
        </w:rPr>
        <w:t xml:space="preserve"> </w:t>
      </w:r>
      <w:r w:rsidRPr="00CD3956">
        <w:rPr>
          <w:color w:val="111111"/>
          <w:sz w:val="20"/>
          <w:szCs w:val="20"/>
          <w:lang w:val="en-US"/>
        </w:rPr>
        <w:t>that</w:t>
      </w:r>
      <w:r w:rsidR="003239B1" w:rsidRPr="00CD3956">
        <w:rPr>
          <w:color w:val="111111"/>
          <w:sz w:val="20"/>
          <w:szCs w:val="20"/>
          <w:lang w:val="en-US"/>
        </w:rPr>
        <w:t xml:space="preserve"> </w:t>
      </w:r>
      <w:r w:rsidRPr="00CD3956">
        <w:rPr>
          <w:color w:val="111111"/>
          <w:sz w:val="20"/>
          <w:szCs w:val="20"/>
          <w:lang w:val="en-US"/>
        </w:rPr>
        <w:t>even</w:t>
      </w:r>
      <w:r w:rsidR="003239B1" w:rsidRPr="00CD3956">
        <w:rPr>
          <w:color w:val="111111"/>
          <w:sz w:val="20"/>
          <w:szCs w:val="20"/>
          <w:lang w:val="en-US"/>
        </w:rPr>
        <w:t xml:space="preserve"> </w:t>
      </w:r>
      <w:r w:rsidRPr="00CD3956">
        <w:rPr>
          <w:color w:val="111111"/>
          <w:sz w:val="20"/>
          <w:szCs w:val="20"/>
          <w:lang w:val="en-US"/>
        </w:rPr>
        <w:t>though its content</w:t>
      </w:r>
      <w:r w:rsidR="003239B1" w:rsidRPr="00CD3956">
        <w:rPr>
          <w:color w:val="111111"/>
          <w:sz w:val="20"/>
          <w:szCs w:val="20"/>
          <w:lang w:val="en-US"/>
        </w:rPr>
        <w:t xml:space="preserve"> </w:t>
      </w:r>
      <w:r w:rsidRPr="00CD3956">
        <w:rPr>
          <w:color w:val="111111"/>
          <w:sz w:val="20"/>
          <w:szCs w:val="20"/>
          <w:lang w:val="en-US"/>
        </w:rPr>
        <w:t>demonstrates a progressive</w:t>
      </w:r>
      <w:r w:rsidR="003239B1" w:rsidRPr="00CD3956">
        <w:rPr>
          <w:color w:val="111111"/>
          <w:sz w:val="20"/>
          <w:szCs w:val="20"/>
          <w:lang w:val="en-US"/>
        </w:rPr>
        <w:t xml:space="preserve"> </w:t>
      </w:r>
      <w:r w:rsidRPr="00CD3956">
        <w:rPr>
          <w:color w:val="111111"/>
          <w:sz w:val="20"/>
          <w:szCs w:val="20"/>
          <w:lang w:val="en-US"/>
        </w:rPr>
        <w:t>character, we still identified</w:t>
      </w:r>
      <w:r w:rsidR="003239B1" w:rsidRPr="00CD3956">
        <w:rPr>
          <w:color w:val="111111"/>
          <w:sz w:val="20"/>
          <w:szCs w:val="20"/>
          <w:lang w:val="en-US"/>
        </w:rPr>
        <w:t xml:space="preserve"> </w:t>
      </w:r>
      <w:r w:rsidRPr="00CD3956">
        <w:rPr>
          <w:color w:val="111111"/>
          <w:sz w:val="20"/>
          <w:szCs w:val="20"/>
          <w:lang w:val="en-US"/>
        </w:rPr>
        <w:t>underlying</w:t>
      </w:r>
      <w:r w:rsidR="003239B1" w:rsidRPr="00CD3956">
        <w:rPr>
          <w:color w:val="111111"/>
          <w:sz w:val="20"/>
          <w:szCs w:val="20"/>
          <w:lang w:val="en-US"/>
        </w:rPr>
        <w:t xml:space="preserve"> </w:t>
      </w:r>
      <w:r w:rsidRPr="00CD3956">
        <w:rPr>
          <w:color w:val="111111"/>
          <w:sz w:val="20"/>
          <w:szCs w:val="20"/>
          <w:lang w:val="en-US"/>
        </w:rPr>
        <w:t>conservative</w:t>
      </w:r>
      <w:r w:rsidR="003239B1" w:rsidRPr="00CD3956">
        <w:rPr>
          <w:color w:val="111111"/>
          <w:sz w:val="20"/>
          <w:szCs w:val="20"/>
          <w:lang w:val="en-US"/>
        </w:rPr>
        <w:t xml:space="preserve"> </w:t>
      </w:r>
      <w:r w:rsidRPr="00CD3956">
        <w:rPr>
          <w:color w:val="111111"/>
          <w:sz w:val="20"/>
          <w:szCs w:val="20"/>
          <w:lang w:val="en-US"/>
        </w:rPr>
        <w:t>assumptions in the</w:t>
      </w:r>
      <w:r w:rsidR="003239B1" w:rsidRPr="00CD3956">
        <w:rPr>
          <w:color w:val="111111"/>
          <w:sz w:val="20"/>
          <w:szCs w:val="20"/>
          <w:lang w:val="en-US"/>
        </w:rPr>
        <w:t xml:space="preserve"> </w:t>
      </w:r>
      <w:r w:rsidRPr="00CD3956">
        <w:rPr>
          <w:color w:val="111111"/>
          <w:sz w:val="20"/>
          <w:szCs w:val="20"/>
          <w:lang w:val="en-US"/>
        </w:rPr>
        <w:t>established</w:t>
      </w:r>
      <w:r w:rsidR="003239B1" w:rsidRPr="00CD3956">
        <w:rPr>
          <w:color w:val="111111"/>
          <w:sz w:val="20"/>
          <w:szCs w:val="20"/>
          <w:lang w:val="en-US"/>
        </w:rPr>
        <w:t xml:space="preserve"> </w:t>
      </w:r>
      <w:r w:rsidRPr="00CD3956">
        <w:rPr>
          <w:color w:val="111111"/>
          <w:sz w:val="20"/>
          <w:szCs w:val="20"/>
          <w:lang w:val="en-US"/>
        </w:rPr>
        <w:t>lines</w:t>
      </w:r>
      <w:r w:rsidR="003239B1" w:rsidRPr="00CD3956">
        <w:rPr>
          <w:color w:val="111111"/>
          <w:sz w:val="20"/>
          <w:szCs w:val="20"/>
          <w:lang w:val="en-US"/>
        </w:rPr>
        <w:t xml:space="preserve"> </w:t>
      </w:r>
      <w:r w:rsidRPr="00CD3956">
        <w:rPr>
          <w:color w:val="111111"/>
          <w:sz w:val="20"/>
          <w:szCs w:val="20"/>
          <w:lang w:val="en-US"/>
        </w:rPr>
        <w:t>of</w:t>
      </w:r>
      <w:r w:rsidR="003239B1" w:rsidRPr="00CD3956">
        <w:rPr>
          <w:color w:val="111111"/>
          <w:sz w:val="20"/>
          <w:szCs w:val="20"/>
          <w:lang w:val="en-US"/>
        </w:rPr>
        <w:t xml:space="preserve"> </w:t>
      </w:r>
      <w:r w:rsidRPr="00CD3956">
        <w:rPr>
          <w:color w:val="111111"/>
          <w:sz w:val="20"/>
          <w:szCs w:val="20"/>
          <w:lang w:val="en-US"/>
        </w:rPr>
        <w:t>action.</w:t>
      </w:r>
    </w:p>
    <w:p w:rsidR="00265AA2" w:rsidRPr="00CD3956" w:rsidRDefault="000433E6" w:rsidP="00AA2EE0">
      <w:pPr>
        <w:ind w:left="2834"/>
        <w:jc w:val="both"/>
        <w:rPr>
          <w:color w:val="111111"/>
          <w:sz w:val="20"/>
          <w:szCs w:val="20"/>
          <w:lang w:val="en-US"/>
        </w:rPr>
      </w:pPr>
      <w:r w:rsidRPr="00CD3956">
        <w:rPr>
          <w:b/>
          <w:sz w:val="20"/>
          <w:szCs w:val="20"/>
          <w:lang w:val="en-US"/>
        </w:rPr>
        <w:t>Key-words</w:t>
      </w:r>
      <w:r w:rsidRPr="00CD3956">
        <w:rPr>
          <w:sz w:val="20"/>
          <w:szCs w:val="20"/>
          <w:lang w:val="en-US"/>
        </w:rPr>
        <w:t>:</w:t>
      </w:r>
      <w:r w:rsidR="004C6679">
        <w:rPr>
          <w:sz w:val="20"/>
          <w:szCs w:val="20"/>
          <w:lang w:val="en-US"/>
        </w:rPr>
        <w:t xml:space="preserve"> </w:t>
      </w:r>
      <w:r w:rsidRPr="00CD3956">
        <w:rPr>
          <w:color w:val="111111"/>
          <w:sz w:val="20"/>
          <w:szCs w:val="20"/>
          <w:lang w:val="en-US"/>
        </w:rPr>
        <w:t>Conservatism, social issues; Social Assistance</w:t>
      </w:r>
      <w:r w:rsidRPr="00CD3956">
        <w:rPr>
          <w:lang w:val="en-US"/>
        </w:rPr>
        <w:br w:type="page"/>
      </w:r>
    </w:p>
    <w:p w:rsidR="00265AA2" w:rsidRDefault="000433E6">
      <w:pPr>
        <w:numPr>
          <w:ilvl w:val="0"/>
          <w:numId w:val="2"/>
        </w:numPr>
        <w:spacing w:before="240" w:after="240"/>
        <w:jc w:val="both"/>
        <w:rPr>
          <w:b/>
          <w:sz w:val="24"/>
          <w:szCs w:val="24"/>
        </w:rPr>
      </w:pPr>
      <w:r>
        <w:rPr>
          <w:b/>
          <w:sz w:val="24"/>
          <w:szCs w:val="24"/>
        </w:rPr>
        <w:lastRenderedPageBreak/>
        <w:t>INTRODUÇÃO</w:t>
      </w:r>
    </w:p>
    <w:p w:rsidR="00265AA2" w:rsidRDefault="000433E6">
      <w:pPr>
        <w:spacing w:before="240" w:after="240" w:line="360" w:lineRule="auto"/>
        <w:ind w:firstLine="700"/>
        <w:jc w:val="both"/>
        <w:rPr>
          <w:sz w:val="24"/>
          <w:szCs w:val="24"/>
        </w:rPr>
      </w:pPr>
      <w:r>
        <w:rPr>
          <w:sz w:val="24"/>
          <w:szCs w:val="24"/>
        </w:rPr>
        <w:t xml:space="preserve">O objetivo deste trabalho, subsidiado num estudo bibliográfico sobre a Política de Assistência Social nas suas particularidades no município de Niterói, é realizar uma interlocução crítica, pautada no campo da tradição marxista, com determinados elementos que compõem a Política Municipal de Acolhimento Humanizado e Assistência Integral a Pessoas em Uso Abusivo de Álcool e/ou Outras Drogas a ser operacionalizado pelo poder público municipal, por meio da Secretaria Municipal de Assistência Social e Economia Solidária (SEMAES). </w:t>
      </w:r>
      <w:r w:rsidR="0069178F">
        <w:rPr>
          <w:sz w:val="24"/>
          <w:szCs w:val="24"/>
        </w:rPr>
        <w:t>Identifica</w:t>
      </w:r>
      <w:r>
        <w:rPr>
          <w:sz w:val="24"/>
          <w:szCs w:val="24"/>
        </w:rPr>
        <w:t xml:space="preserve">-se que essa proposta traz um caráter de inovação para o </w:t>
      </w:r>
      <w:r w:rsidR="00C76402">
        <w:rPr>
          <w:sz w:val="24"/>
          <w:szCs w:val="24"/>
        </w:rPr>
        <w:t>enfrentamento das</w:t>
      </w:r>
      <w:r>
        <w:rPr>
          <w:sz w:val="24"/>
          <w:szCs w:val="24"/>
        </w:rPr>
        <w:t xml:space="preserve"> expressões da questão social, que se particularizam em seus aspectos regionais. Considerando que o número de pessoas em situação de rua obteve um aumento expressivo após a pandemia de Covid-19, analisamos uma estratégia do poder público na construção de respostas a essas demandas socialmente postas. Nesse sentido, este artigo propõe abordar a relação entre as expressões da questão social e população em situação de rua, a analisar a conjuntura conservadora e sua influência na política de assistência social, e, por fim, </w:t>
      </w:r>
      <w:r w:rsidR="00C76402">
        <w:rPr>
          <w:sz w:val="24"/>
          <w:szCs w:val="24"/>
        </w:rPr>
        <w:t>problematizar itens</w:t>
      </w:r>
      <w:r>
        <w:rPr>
          <w:sz w:val="24"/>
          <w:szCs w:val="24"/>
        </w:rPr>
        <w:t xml:space="preserve"> da política de acolhimento humanizado.</w:t>
      </w:r>
    </w:p>
    <w:p w:rsidR="00265AA2" w:rsidRDefault="000433E6">
      <w:pPr>
        <w:numPr>
          <w:ilvl w:val="0"/>
          <w:numId w:val="2"/>
        </w:numPr>
        <w:spacing w:before="240" w:after="240"/>
        <w:rPr>
          <w:b/>
          <w:sz w:val="24"/>
          <w:szCs w:val="24"/>
        </w:rPr>
      </w:pPr>
      <w:r>
        <w:rPr>
          <w:b/>
          <w:sz w:val="24"/>
          <w:szCs w:val="24"/>
        </w:rPr>
        <w:t xml:space="preserve">A SITUAÇÃO DAS PESSOAS EM SITUAÇÃO DE RUA: </w:t>
      </w:r>
      <w:r w:rsidR="006729C0">
        <w:rPr>
          <w:sz w:val="24"/>
          <w:szCs w:val="24"/>
        </w:rPr>
        <w:t>u</w:t>
      </w:r>
      <w:r>
        <w:rPr>
          <w:sz w:val="24"/>
          <w:szCs w:val="24"/>
        </w:rPr>
        <w:t>ma da</w:t>
      </w:r>
      <w:r w:rsidR="00C76402">
        <w:rPr>
          <w:sz w:val="24"/>
          <w:szCs w:val="24"/>
        </w:rPr>
        <w:t>s</w:t>
      </w:r>
      <w:r>
        <w:rPr>
          <w:sz w:val="24"/>
          <w:szCs w:val="24"/>
        </w:rPr>
        <w:t xml:space="preserve"> expressões da questão social  </w:t>
      </w:r>
    </w:p>
    <w:p w:rsidR="00265AA2" w:rsidRDefault="000433E6">
      <w:pPr>
        <w:spacing w:before="240" w:after="240" w:line="360" w:lineRule="auto"/>
        <w:ind w:firstLine="700"/>
        <w:jc w:val="both"/>
        <w:rPr>
          <w:sz w:val="24"/>
          <w:szCs w:val="24"/>
        </w:rPr>
      </w:pPr>
      <w:r>
        <w:rPr>
          <w:sz w:val="24"/>
          <w:szCs w:val="24"/>
        </w:rPr>
        <w:t xml:space="preserve">A situação de pessoas que se encontram em situação de rua é considerada uma das expressões da questão social, </w:t>
      </w:r>
      <w:r w:rsidR="00C76402">
        <w:rPr>
          <w:sz w:val="24"/>
          <w:szCs w:val="24"/>
        </w:rPr>
        <w:t>e, portanto,</w:t>
      </w:r>
      <w:r>
        <w:rPr>
          <w:sz w:val="24"/>
          <w:szCs w:val="24"/>
        </w:rPr>
        <w:t xml:space="preserve"> produzida pelo modo capitalista, responsável por não somente germinar uma relação pautada por contradições estruturantes, mas de condicionar uma parcela expressiva da população a estratificação, isto é, na impossibilidade de emergir economicamente, mantendo-se em um contexto de pobreza relativa e absoluta. Nossa concepção sobre a terminologia “pessoas em situação de rua”</w:t>
      </w:r>
      <w:r w:rsidR="00AA2EE0">
        <w:rPr>
          <w:sz w:val="24"/>
          <w:szCs w:val="24"/>
        </w:rPr>
        <w:t xml:space="preserve"> </w:t>
      </w:r>
      <w:r>
        <w:rPr>
          <w:sz w:val="24"/>
          <w:szCs w:val="24"/>
        </w:rPr>
        <w:t xml:space="preserve">compreende a composição da classe trabalhadora nos seus estratos mais pauperizados e que constituem não somente o exército industrial de reserva, considerando que são proprietárias da força de </w:t>
      </w:r>
      <w:r>
        <w:rPr>
          <w:sz w:val="24"/>
          <w:szCs w:val="24"/>
        </w:rPr>
        <w:lastRenderedPageBreak/>
        <w:t>trabalho que precisa ser vendida, mas o próprio lumpemproletariado. Concordamos com Macedo e Sousa (2019) ao colocar que esta população é portadora da capacidade de trabalho “</w:t>
      </w:r>
      <w:r w:rsidR="00E7360B">
        <w:rPr>
          <w:sz w:val="24"/>
          <w:szCs w:val="24"/>
        </w:rPr>
        <w:t>[...],</w:t>
      </w:r>
      <w:r>
        <w:rPr>
          <w:sz w:val="24"/>
          <w:szCs w:val="24"/>
          <w:highlight w:val="white"/>
        </w:rPr>
        <w:t>mas que está apartad[a] das condições necessárias à sua realização. Cenário que contribui para produção de uma população supérflua ao capital, mas funcional a lei da acumulação [...]”(Macedo e Sousa, 2019, p.4). A propensão é que o aparato estatal através de</w:t>
      </w:r>
      <w:r w:rsidR="00AA2EE0">
        <w:rPr>
          <w:sz w:val="24"/>
          <w:szCs w:val="24"/>
          <w:highlight w:val="white"/>
        </w:rPr>
        <w:t xml:space="preserve"> suas políticas, </w:t>
      </w:r>
      <w:r>
        <w:rPr>
          <w:sz w:val="24"/>
          <w:szCs w:val="24"/>
          <w:highlight w:val="white"/>
        </w:rPr>
        <w:t xml:space="preserve">compreenda que este quadro se produz, a partir da ótica individual, </w:t>
      </w:r>
      <w:r w:rsidR="00C76402">
        <w:rPr>
          <w:sz w:val="24"/>
          <w:szCs w:val="24"/>
          <w:highlight w:val="white"/>
        </w:rPr>
        <w:t>muitas</w:t>
      </w:r>
      <w:r>
        <w:rPr>
          <w:sz w:val="24"/>
          <w:szCs w:val="24"/>
          <w:highlight w:val="white"/>
        </w:rPr>
        <w:t xml:space="preserve"> vezes atrelando a responsabilidade de “estar na rua” às histórias individuais, o que marca uma perspectiva conservadora e fragmentada </w:t>
      </w:r>
      <w:r w:rsidR="00C76402">
        <w:rPr>
          <w:sz w:val="24"/>
          <w:szCs w:val="24"/>
          <w:highlight w:val="white"/>
        </w:rPr>
        <w:t>da realidade</w:t>
      </w:r>
      <w:r>
        <w:rPr>
          <w:sz w:val="24"/>
          <w:szCs w:val="24"/>
          <w:highlight w:val="white"/>
        </w:rPr>
        <w:t xml:space="preserve"> social, sem reconhecer o conjunto das desigualdades sociais que a constitui. Assim, esta forma de pensar propicia uma leitura, “[...] do fenômeno da “questão social” desarticulada da fundamentação política e econômica que a sustenta [...] compreendida, neste caso, como problema de ordem [...], moral e comportamental dos indivíduos”. (</w:t>
      </w:r>
      <w:r>
        <w:rPr>
          <w:sz w:val="24"/>
          <w:szCs w:val="24"/>
        </w:rPr>
        <w:t>Macedo e Sousa, 2019, p.5). Esta diferenciação teórica é identificada nos documentos oficiais como a Política Nacional de Assistência Social (PNAS) de 2004, bem como nos relatórios produzidos pelo Ministério dos Direitos Humanos e da Cidadania (MDHC, 2024), que entende população em situação de rua como</w:t>
      </w:r>
    </w:p>
    <w:p w:rsidR="00265AA2" w:rsidRDefault="000433E6">
      <w:pPr>
        <w:spacing w:before="240" w:after="240" w:line="240" w:lineRule="auto"/>
        <w:ind w:left="2267"/>
        <w:jc w:val="both"/>
        <w:rPr>
          <w:sz w:val="24"/>
          <w:szCs w:val="24"/>
        </w:rPr>
      </w:pPr>
      <w:r>
        <w:rPr>
          <w:sz w:val="20"/>
          <w:szCs w:val="20"/>
        </w:rPr>
        <w:t>[...] um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 (BRASIL, 2009, art. 1º)</w:t>
      </w:r>
      <w:r>
        <w:rPr>
          <w:sz w:val="24"/>
          <w:szCs w:val="24"/>
        </w:rPr>
        <w:t>.</w:t>
      </w:r>
    </w:p>
    <w:p w:rsidR="00265AA2" w:rsidRDefault="000433E6">
      <w:pPr>
        <w:spacing w:before="240" w:after="240" w:line="360" w:lineRule="auto"/>
        <w:jc w:val="both"/>
        <w:rPr>
          <w:sz w:val="24"/>
          <w:szCs w:val="24"/>
        </w:rPr>
      </w:pPr>
      <w:r>
        <w:rPr>
          <w:color w:val="00FF00"/>
          <w:sz w:val="24"/>
          <w:szCs w:val="24"/>
        </w:rPr>
        <w:tab/>
      </w:r>
      <w:r>
        <w:rPr>
          <w:sz w:val="24"/>
          <w:szCs w:val="24"/>
        </w:rPr>
        <w:t xml:space="preserve">Salienta-se ainda que a expressividade crescente do número de pessoas em situação de rua não está deslocada das condições vivenciadas pela parcela mais empobrecida após a avassaladora pandemia da Covid-19 (2020-2022), que ceifou diversas vidas e evidenciou a necessidade do Sistema Único de Saúde (SUS) e do Sistema Único de Assistência Social (SUAS) para atender a todos, de forma gratuita e eficiente, o que efetivamente não ocorreu. Conforme relatório do MDHC (2023), houve um aumento expressivo da população em situação de rua, já </w:t>
      </w:r>
      <w:r w:rsidR="006729C0">
        <w:rPr>
          <w:sz w:val="24"/>
          <w:szCs w:val="24"/>
        </w:rPr>
        <w:t xml:space="preserve">que </w:t>
      </w:r>
      <w:r w:rsidR="006729C0">
        <w:rPr>
          <w:sz w:val="20"/>
          <w:szCs w:val="20"/>
        </w:rPr>
        <w:t>“</w:t>
      </w:r>
      <w:r>
        <w:rPr>
          <w:sz w:val="24"/>
          <w:szCs w:val="24"/>
        </w:rPr>
        <w:t xml:space="preserve">[...] em </w:t>
      </w:r>
      <w:r>
        <w:rPr>
          <w:sz w:val="24"/>
          <w:szCs w:val="24"/>
        </w:rPr>
        <w:lastRenderedPageBreak/>
        <w:t>dezembro de 2022, 236.400 pessoas encontravam-se em situação de rua no Brasil [...] ou seja, 1 em cada 1.000 pessoas no Brasil estava vivendo nessa situação [...]” (Brasil, 2023, p. 15)</w:t>
      </w:r>
      <w:r>
        <w:rPr>
          <w:sz w:val="20"/>
          <w:szCs w:val="20"/>
        </w:rPr>
        <w:t>.</w:t>
      </w:r>
      <w:r>
        <w:rPr>
          <w:sz w:val="24"/>
          <w:szCs w:val="24"/>
        </w:rPr>
        <w:br/>
      </w:r>
      <w:r>
        <w:rPr>
          <w:sz w:val="24"/>
          <w:szCs w:val="24"/>
        </w:rPr>
        <w:tab/>
        <w:t>Concomitante a esta questão, políticas emergenciais de transferência de renda e demais formas de assistência foram construídas para esse enfrentamento, sem a manutenção e logística para essa população que ainda enfrenta os rebatimentos desse período. O pós-pandemia escancarou a necessidade da face interventiva do Estado no âmbito do enfrentamento da pobreza, expondo as fraturas entre estas políticas públicas estatais, bem como sua fragilidade em termos de investimentos. Contudo, o que se percebe é a fragmentação dessa problemática e uma tentativa de resolução pragmática e funcionalista, com fortes inclinações conservadoras na medida em que as questões estruturais não são analisadas e são construídas respostas paliativas e pulverizadas.</w:t>
      </w:r>
    </w:p>
    <w:p w:rsidR="00265AA2" w:rsidRDefault="000433E6">
      <w:pPr>
        <w:numPr>
          <w:ilvl w:val="0"/>
          <w:numId w:val="2"/>
        </w:numPr>
        <w:spacing w:before="240" w:after="240"/>
        <w:rPr>
          <w:b/>
          <w:sz w:val="24"/>
          <w:szCs w:val="24"/>
        </w:rPr>
      </w:pPr>
      <w:r>
        <w:rPr>
          <w:b/>
          <w:sz w:val="24"/>
          <w:szCs w:val="24"/>
        </w:rPr>
        <w:t xml:space="preserve">O AVANÇAR DO PENSAMENTO CONSERVADOR NA REALIDADE BRASILEIRA: </w:t>
      </w:r>
      <w:r>
        <w:rPr>
          <w:sz w:val="24"/>
          <w:szCs w:val="24"/>
        </w:rPr>
        <w:t xml:space="preserve">o reacionarismo presente </w:t>
      </w:r>
    </w:p>
    <w:p w:rsidR="00265AA2" w:rsidRDefault="000433E6">
      <w:pPr>
        <w:spacing w:before="240" w:after="240" w:line="360" w:lineRule="auto"/>
        <w:ind w:firstLine="700"/>
        <w:jc w:val="both"/>
        <w:rPr>
          <w:sz w:val="24"/>
          <w:szCs w:val="24"/>
        </w:rPr>
      </w:pPr>
      <w:r>
        <w:rPr>
          <w:sz w:val="24"/>
          <w:szCs w:val="24"/>
        </w:rPr>
        <w:t xml:space="preserve">Considerando o contexto dos anos 2018, onde a retomada do conservadorismo ocorre de forma potencializada, e </w:t>
      </w:r>
      <w:r w:rsidR="00C76402">
        <w:rPr>
          <w:sz w:val="24"/>
          <w:szCs w:val="24"/>
        </w:rPr>
        <w:t>sua expressão</w:t>
      </w:r>
      <w:r>
        <w:rPr>
          <w:sz w:val="24"/>
          <w:szCs w:val="24"/>
        </w:rPr>
        <w:t xml:space="preserve"> máxim</w:t>
      </w:r>
      <w:r w:rsidR="00AA2EE0">
        <w:rPr>
          <w:sz w:val="24"/>
          <w:szCs w:val="24"/>
        </w:rPr>
        <w:t>a é a eleição de Jair Bolsonaro</w:t>
      </w:r>
      <w:r>
        <w:rPr>
          <w:sz w:val="24"/>
          <w:szCs w:val="24"/>
        </w:rPr>
        <w:t xml:space="preserve">. Este quadro se engendrou a partir de “[...] uma combinação de crises no plano econômico, político e social, na qual a legitimidade de um determinado padrão [...] da dominação de classes se viu profundamente abalada.” (Mattos, 2022, p.29). Bolsonaro fortaleceu o movimento do antipetismo em segmentos populacionais, desacreditou princípios democráticos, defendendo “[...] pautas populistas, conservadoras, ultraliberais, anticomunistas e de direita” (Carretero, 2024, p. 3), ou seja, um discurso moralista. Nas suas propostas de governo, que caminham na contramão da defesa dos direitos humanos, havia uma proliferação de pautas que defendiam o porte de arma, o retorno da ditadura militar bem como do uso da violência policial (Carretero, 2024), produzindo uma perspectiva de militarização da vida cotidiana, que, certamente na realidade </w:t>
      </w:r>
      <w:r>
        <w:rPr>
          <w:sz w:val="24"/>
          <w:szCs w:val="24"/>
        </w:rPr>
        <w:lastRenderedPageBreak/>
        <w:t xml:space="preserve">brasileira, estava destinada aos pretos, pobres e periféricos. </w:t>
      </w:r>
      <w:r>
        <w:rPr>
          <w:sz w:val="24"/>
          <w:szCs w:val="24"/>
        </w:rPr>
        <w:br/>
        <w:t>Em seu período de governo demonstrou sua negação à racionalidade científica, sua descredibilidade no investimento de políticas públicas acompanhado de um recrudescimento do conservadorismo</w:t>
      </w:r>
    </w:p>
    <w:p w:rsidR="00265AA2" w:rsidRDefault="000433E6">
      <w:pPr>
        <w:spacing w:before="240" w:after="240" w:line="360" w:lineRule="auto"/>
        <w:ind w:firstLine="720"/>
        <w:jc w:val="both"/>
        <w:rPr>
          <w:b/>
          <w:sz w:val="24"/>
          <w:szCs w:val="24"/>
        </w:rPr>
      </w:pPr>
      <w:r>
        <w:rPr>
          <w:b/>
          <w:sz w:val="24"/>
          <w:szCs w:val="24"/>
        </w:rPr>
        <w:t>4. TENDÊNCIAS CONSERVADORAS NO CAMPO DA ASSISTÊNCIA SOCIAL</w:t>
      </w:r>
    </w:p>
    <w:p w:rsidR="00265AA2" w:rsidRDefault="000433E6">
      <w:pPr>
        <w:spacing w:before="240" w:after="240" w:line="360" w:lineRule="auto"/>
        <w:ind w:firstLine="720"/>
        <w:jc w:val="both"/>
        <w:rPr>
          <w:sz w:val="24"/>
          <w:szCs w:val="24"/>
        </w:rPr>
      </w:pPr>
      <w:r>
        <w:rPr>
          <w:sz w:val="24"/>
          <w:szCs w:val="24"/>
        </w:rPr>
        <w:t>O eixo central para se pensar a construção de políticas de assistência no Brasil perpassa necessariamente a conjuntura do país pós-abolição, e isso quer dizer toda a população negra que permaneceu aqui submetida a falsa ideia de fim da escravatura, já que o que se tem naquele contexto é o fim por lei, e não a modificação estrutural dessa realidade socioeconômica, mas a relação embrionária do capitalismo e racismo para a formação da sociedade brasileira. Nesse sentido, é importante que se entendam suas particularidades “[...] a partir do regime escravocrata, que forjou uma sociedade rígida e dicotomizada na figura do senhor-escravo e impossibilitou outras formas de inserção produtiva”(</w:t>
      </w:r>
      <w:r>
        <w:rPr>
          <w:sz w:val="24"/>
          <w:szCs w:val="24"/>
          <w:highlight w:val="white"/>
        </w:rPr>
        <w:t xml:space="preserve">Macedo e Sousa, 2019, p.5). </w:t>
      </w:r>
      <w:r>
        <w:rPr>
          <w:sz w:val="24"/>
          <w:szCs w:val="24"/>
        </w:rPr>
        <w:t xml:space="preserve">O significado desta mudança para as pessoas que foram escravizadas, que constituirão a classe trabalhadora brasileira, se materializou nas condições de vida e de trabalho precários a que essa população foi historicamente submetida, tendo que recorrentemente acionar a prestação de assistência. Inicialmente operacionalizada pelas Santas Casas de Misericórdia e pelas entidades filantrópicas, a história da assistência demonstra um caminho tensionado de interesses de manutenção das desigualdades sociais sem a finalidade de superá-las. </w:t>
      </w:r>
      <w:r>
        <w:rPr>
          <w:sz w:val="24"/>
          <w:szCs w:val="24"/>
        </w:rPr>
        <w:br/>
      </w:r>
      <w:r>
        <w:rPr>
          <w:sz w:val="20"/>
          <w:szCs w:val="20"/>
        </w:rPr>
        <w:tab/>
      </w:r>
      <w:r>
        <w:rPr>
          <w:sz w:val="24"/>
          <w:szCs w:val="24"/>
        </w:rPr>
        <w:t>É importante ressaltarmos que na nossa análise não se nega a necessidade de uma política de assistência, muito menos desvaloriza-se o processo de luta de classes que forjou a transição da assistência para o campo das políticas públicas, entretanto precisamos compreender que a constituição histórica da assistência é perpassada por um conjunto de ações conservadoras e funcionais na lógica do capitalismo. Isso se expressa quando</w:t>
      </w:r>
    </w:p>
    <w:p w:rsidR="00265AA2" w:rsidRDefault="000433E6">
      <w:pPr>
        <w:spacing w:before="240" w:after="240" w:line="240" w:lineRule="auto"/>
        <w:ind w:left="2267"/>
        <w:jc w:val="both"/>
        <w:rPr>
          <w:color w:val="00FF00"/>
          <w:sz w:val="20"/>
          <w:szCs w:val="20"/>
        </w:rPr>
      </w:pPr>
      <w:r>
        <w:rPr>
          <w:sz w:val="20"/>
          <w:szCs w:val="20"/>
        </w:rPr>
        <w:lastRenderedPageBreak/>
        <w:t>A crítica sobre a trajetória histórica das políticas públicas no Brasil, especialmente as sociais, tendo como parâmetro os princípios da universalidade do Sistema de Proteção Social e da indivisibilidade dos direitos humanos, parte da identificação de políticas inconsistentes, produzidas em períodos de autoritarismo e de ideologias desenvolvimentistas, conformando a incompletude da cidadania e da democracia (Silveira, 2017, p.489).</w:t>
      </w:r>
    </w:p>
    <w:p w:rsidR="00265AA2" w:rsidRDefault="000433E6">
      <w:pPr>
        <w:spacing w:before="240" w:after="240" w:line="360" w:lineRule="auto"/>
        <w:jc w:val="both"/>
        <w:rPr>
          <w:color w:val="00FF00"/>
          <w:sz w:val="24"/>
          <w:szCs w:val="24"/>
        </w:rPr>
      </w:pPr>
      <w:r>
        <w:rPr>
          <w:color w:val="00FF00"/>
          <w:sz w:val="24"/>
          <w:szCs w:val="24"/>
        </w:rPr>
        <w:tab/>
      </w:r>
      <w:r>
        <w:rPr>
          <w:sz w:val="24"/>
          <w:szCs w:val="24"/>
        </w:rPr>
        <w:t xml:space="preserve">E nessa frágil relação construída pelas demandas populares e a resposta do Estado às expressões da questão social que se comporta todo um projeto que incide na concepção da vida a partir de uma lógica reprodutora sistêmica, e possibilita reafirmar propensões a acepções conservadoras, ainda que, na sociedade, tenhamos </w:t>
      </w:r>
      <w:r w:rsidR="00C76402">
        <w:rPr>
          <w:sz w:val="24"/>
          <w:szCs w:val="24"/>
        </w:rPr>
        <w:t>vivenciado momentos</w:t>
      </w:r>
      <w:r>
        <w:rPr>
          <w:sz w:val="24"/>
          <w:szCs w:val="24"/>
        </w:rPr>
        <w:t xml:space="preserve"> na história de ondas progressistas. Nesta lógica identifica-se que o campo da assistência social se relaciona funcionalmente a reprodução das desigualdades sociais na medida em que estabelece formas de controle e ajustamento dos indivíduos, das famílias, num movimento que adere a concepção conservadora disseminada na sociedade de criminalização da pobreza se articulando com a “[...] racionalidade instituída</w:t>
      </w:r>
      <w:r>
        <w:rPr>
          <w:sz w:val="20"/>
          <w:szCs w:val="20"/>
        </w:rPr>
        <w:t xml:space="preserve">, </w:t>
      </w:r>
      <w:r>
        <w:rPr>
          <w:sz w:val="24"/>
          <w:szCs w:val="24"/>
        </w:rPr>
        <w:t xml:space="preserve">com efeitos de subalternização, institucionalização, patologização e segregação social, contribuindo, desse modo, para o conformismo social” (Silveira, 2017, p.491). </w:t>
      </w:r>
      <w:r>
        <w:rPr>
          <w:sz w:val="24"/>
          <w:szCs w:val="24"/>
        </w:rPr>
        <w:br/>
      </w:r>
      <w:r>
        <w:rPr>
          <w:sz w:val="24"/>
          <w:szCs w:val="24"/>
        </w:rPr>
        <w:tab/>
        <w:t>Somente nos anos 2000, - considerando que até então a assistência estava historicamente vinculada a instituições privadas e entidades beneficentes, atu</w:t>
      </w:r>
      <w:r w:rsidR="00AA2EE0">
        <w:rPr>
          <w:sz w:val="24"/>
          <w:szCs w:val="24"/>
        </w:rPr>
        <w:t>ando com a perspectiva da ajuda</w:t>
      </w:r>
      <w:r>
        <w:rPr>
          <w:sz w:val="24"/>
          <w:szCs w:val="24"/>
        </w:rPr>
        <w:t xml:space="preserve"> e da solidariedade - o Brasil viu a construção de um Sistema Único de Assistência Social (2004), como uma política pública e portanto um direito de cidadania, que caminha para a compreensão das particularidades de determinados territórios, captando os espaços mais empobrecidos, além de recursos de transferência de renda e outros mecanismos e dispositivos que visam a garantia de um atendimento público e democrático dessas mazelas sociais. </w:t>
      </w:r>
      <w:r>
        <w:rPr>
          <w:sz w:val="24"/>
          <w:szCs w:val="24"/>
        </w:rPr>
        <w:br/>
      </w:r>
      <w:r>
        <w:rPr>
          <w:sz w:val="24"/>
          <w:szCs w:val="24"/>
        </w:rPr>
        <w:tab/>
        <w:t>O período dos anos 2018-2022 permitiu o alastramento massivo das tendências conservadoras na sociedade brasileira, como mencionado. Contraditoriamente,</w:t>
      </w:r>
      <w:r w:rsidR="00AA2EE0">
        <w:rPr>
          <w:sz w:val="24"/>
          <w:szCs w:val="24"/>
        </w:rPr>
        <w:t xml:space="preserve"> </w:t>
      </w:r>
      <w:r>
        <w:rPr>
          <w:sz w:val="24"/>
          <w:szCs w:val="24"/>
        </w:rPr>
        <w:t>a</w:t>
      </w:r>
      <w:r w:rsidR="00AA2EE0">
        <w:rPr>
          <w:sz w:val="24"/>
          <w:szCs w:val="24"/>
        </w:rPr>
        <w:t xml:space="preserve"> </w:t>
      </w:r>
      <w:r>
        <w:rPr>
          <w:sz w:val="24"/>
          <w:szCs w:val="24"/>
        </w:rPr>
        <w:t xml:space="preserve">Política de Assistência Social teve um destaque nesse período considerando que a pandemia de Covid-19 impôs o acionamento de mecanismos </w:t>
      </w:r>
      <w:r>
        <w:rPr>
          <w:sz w:val="24"/>
          <w:szCs w:val="24"/>
        </w:rPr>
        <w:lastRenderedPageBreak/>
        <w:t xml:space="preserve">assistenciais para atingir a população que perdeu seus empregos. O auxílio </w:t>
      </w:r>
      <w:r w:rsidR="00EF5AE6">
        <w:rPr>
          <w:sz w:val="24"/>
          <w:szCs w:val="24"/>
        </w:rPr>
        <w:t>emergencial -</w:t>
      </w:r>
      <w:r>
        <w:rPr>
          <w:sz w:val="24"/>
          <w:szCs w:val="24"/>
        </w:rPr>
        <w:t xml:space="preserve"> expressão carregada de assistencialismo - é criado como medida governamental para aplacar de forma pontual e imediata, as demandas colocadas na pauta do dia. Esta </w:t>
      </w:r>
      <w:r w:rsidR="00C76402">
        <w:rPr>
          <w:sz w:val="24"/>
          <w:szCs w:val="24"/>
        </w:rPr>
        <w:t>conjuntura foi</w:t>
      </w:r>
      <w:r>
        <w:rPr>
          <w:sz w:val="24"/>
          <w:szCs w:val="24"/>
        </w:rPr>
        <w:t xml:space="preserve"> marcada pela intensificação no desmonte da rede de proteção social, a partir dos cortes orçamentários, além do “[...] </w:t>
      </w:r>
      <w:r>
        <w:rPr>
          <w:sz w:val="24"/>
          <w:szCs w:val="24"/>
          <w:highlight w:val="white"/>
        </w:rPr>
        <w:t>achatamento do financiamento do programa Minha Casa, Minha Vida e extinção do Conselho Nacional de Segurança Alimentar</w:t>
      </w:r>
      <w:r>
        <w:rPr>
          <w:sz w:val="24"/>
          <w:szCs w:val="24"/>
        </w:rPr>
        <w:t xml:space="preserve">[...]”. </w:t>
      </w:r>
      <w:r>
        <w:rPr>
          <w:sz w:val="24"/>
          <w:szCs w:val="24"/>
          <w:highlight w:val="white"/>
        </w:rPr>
        <w:t xml:space="preserve">(Schlege e  Vazquez, </w:t>
      </w:r>
      <w:r w:rsidR="00C76402">
        <w:rPr>
          <w:sz w:val="24"/>
          <w:szCs w:val="24"/>
          <w:highlight w:val="white"/>
        </w:rPr>
        <w:t>2023, p.</w:t>
      </w:r>
      <w:r>
        <w:rPr>
          <w:sz w:val="24"/>
          <w:szCs w:val="24"/>
          <w:highlight w:val="white"/>
        </w:rPr>
        <w:t xml:space="preserve">2). </w:t>
      </w:r>
      <w:r>
        <w:rPr>
          <w:sz w:val="24"/>
          <w:szCs w:val="24"/>
        </w:rPr>
        <w:t>A Assistência Social foi uma das políticas públicas estatais mais acionadas neste período, mas não foi acompanhada de investimentos necessários para sua estruturação, o que se mantém até a atualidade, e que obstaculiza a operacionalização da prestação dos serviços socioassistenciais qualificados à população, tendo em vista o sucateamento dos equipamentos públicos.</w:t>
      </w:r>
    </w:p>
    <w:p w:rsidR="00265AA2" w:rsidRDefault="000433E6">
      <w:pPr>
        <w:spacing w:before="240" w:after="240" w:line="360" w:lineRule="auto"/>
        <w:ind w:firstLine="720"/>
        <w:jc w:val="both"/>
        <w:rPr>
          <w:color w:val="00FF00"/>
          <w:sz w:val="24"/>
          <w:szCs w:val="24"/>
        </w:rPr>
      </w:pPr>
      <w:r>
        <w:rPr>
          <w:b/>
          <w:sz w:val="24"/>
          <w:szCs w:val="24"/>
        </w:rPr>
        <w:t xml:space="preserve">5. AS EXPRESSÕES CONSERVADORAS NO ÂMBITO DA POLÍTICA DE ASSISTÊNCIA SOCIAL: </w:t>
      </w:r>
      <w:r>
        <w:rPr>
          <w:sz w:val="24"/>
          <w:szCs w:val="24"/>
        </w:rPr>
        <w:t>breve análise do município de Niterói</w:t>
      </w:r>
    </w:p>
    <w:p w:rsidR="00265AA2" w:rsidRDefault="000433E6">
      <w:pPr>
        <w:spacing w:before="240" w:after="240" w:line="360" w:lineRule="auto"/>
        <w:ind w:firstLine="700"/>
        <w:jc w:val="both"/>
        <w:rPr>
          <w:sz w:val="24"/>
          <w:szCs w:val="24"/>
        </w:rPr>
      </w:pPr>
      <w:r>
        <w:rPr>
          <w:sz w:val="24"/>
          <w:szCs w:val="24"/>
        </w:rPr>
        <w:t>Partindo das considerações realizadas, nossa análise se envereda para a compreensão de que</w:t>
      </w:r>
      <w:r w:rsidR="003239B1">
        <w:rPr>
          <w:sz w:val="24"/>
          <w:szCs w:val="24"/>
        </w:rPr>
        <w:t xml:space="preserve"> </w:t>
      </w:r>
      <w:r>
        <w:rPr>
          <w:sz w:val="24"/>
          <w:szCs w:val="24"/>
        </w:rPr>
        <w:t xml:space="preserve">neste recente programa instituído pelo poder público municipal de Niterói, há constituintes expressivos do que denominamos de tendências conservadoras. A partir da extração de determinados itens do projeto de atendimento às pessoas em situação de </w:t>
      </w:r>
      <w:r w:rsidR="00C76402">
        <w:rPr>
          <w:sz w:val="24"/>
          <w:szCs w:val="24"/>
        </w:rPr>
        <w:t>rua, problematizamos</w:t>
      </w:r>
      <w:r>
        <w:rPr>
          <w:sz w:val="24"/>
          <w:szCs w:val="24"/>
        </w:rPr>
        <w:t xml:space="preserve"> seus conteúdos. </w:t>
      </w:r>
      <w:r>
        <w:rPr>
          <w:sz w:val="24"/>
          <w:szCs w:val="24"/>
        </w:rPr>
        <w:br/>
      </w:r>
      <w:r>
        <w:rPr>
          <w:sz w:val="24"/>
          <w:szCs w:val="24"/>
        </w:rPr>
        <w:tab/>
        <w:t xml:space="preserve">De acordo com a Lei Nº 3997 de 2025, que institui a Política Municipal de Acolhimento Humanizado e Assistência Integral a Pessoas em Uso Abusivo de Álcool e/ou Outras Drogas e/ou Transtornos Mentais em Niterói, bem como estabelece diretrizes para a assistência à população em situação de rua, em seu artigo 9º estabelece que: </w:t>
      </w:r>
    </w:p>
    <w:p w:rsidR="00265AA2" w:rsidRDefault="000433E6">
      <w:pPr>
        <w:spacing w:before="240" w:after="240" w:line="240" w:lineRule="auto"/>
        <w:ind w:left="2267"/>
        <w:jc w:val="both"/>
        <w:rPr>
          <w:sz w:val="20"/>
          <w:szCs w:val="20"/>
        </w:rPr>
      </w:pPr>
      <w:r>
        <w:rPr>
          <w:sz w:val="20"/>
          <w:szCs w:val="20"/>
        </w:rPr>
        <w:t xml:space="preserve">Art. 9º. O Município de Niterói poderá firmar parcerias com entidades da sociedade civil, organismos internacionais e a iniciativa privada para captação de recursos, desenvolvimento de infraestrutura e a ampliação das políticas de atendimento às pessoas em uso abusivo de álcool e outras </w:t>
      </w:r>
      <w:r>
        <w:rPr>
          <w:sz w:val="20"/>
          <w:szCs w:val="20"/>
        </w:rPr>
        <w:lastRenderedPageBreak/>
        <w:t>drogas e transtornos mentais, bem como para programas sociais voltados à população em situação de rua.</w:t>
      </w:r>
    </w:p>
    <w:p w:rsidR="00265AA2" w:rsidRDefault="000433E6">
      <w:pPr>
        <w:spacing w:before="240" w:after="240" w:line="360" w:lineRule="auto"/>
        <w:ind w:firstLine="720"/>
        <w:jc w:val="both"/>
        <w:rPr>
          <w:sz w:val="24"/>
          <w:szCs w:val="24"/>
        </w:rPr>
      </w:pPr>
      <w:r>
        <w:rPr>
          <w:sz w:val="24"/>
          <w:szCs w:val="24"/>
        </w:rPr>
        <w:t>Neste item está nítido o fortalecimento do que se denomina “parceria público-privada” que em nossa análise, transfere não somente recursos, mas responsabilidades para as históricas “entidades assistenciais". Portanto consideramos que esse processo produz uma forma obscura de privatização, ou de retorno da assistência para as “esferas privadas”, na medida em que é atribuída a essas, uma função social historicamente absorvida pelo Estado. Nesse sentido é necessário refletir até que ponto essas entidades serão fiscalizadas e acompanhadas para se identificar se suas ações estão em consonância com a proposta.Já no parágrafo V, diz: “estabelecer programas sociais para pessoas em situação de rua, incluindo acesso à moradia, assistência social e estratégias como o modelo HousingFirst, sem necessidade de abstinência prévia como requisito para inclusão no programa”.</w:t>
      </w:r>
      <w:r>
        <w:rPr>
          <w:color w:val="FF0000"/>
          <w:sz w:val="24"/>
          <w:szCs w:val="24"/>
        </w:rPr>
        <w:br/>
      </w:r>
      <w:r>
        <w:rPr>
          <w:color w:val="FF0000"/>
          <w:sz w:val="24"/>
          <w:szCs w:val="24"/>
        </w:rPr>
        <w:tab/>
      </w:r>
      <w:r>
        <w:rPr>
          <w:sz w:val="24"/>
          <w:szCs w:val="24"/>
        </w:rPr>
        <w:t xml:space="preserve">O referido modelo, HousingFirst (HF), de origem norte-americana elaborado durante a década de 1990 e recentemente implantado em países europeus, é considerado uma inovação no campo das políticas sociais, partindo do pressuposto de que a moradia é um direito humano </w:t>
      </w:r>
      <w:r w:rsidR="00C76402">
        <w:rPr>
          <w:sz w:val="24"/>
          <w:szCs w:val="24"/>
        </w:rPr>
        <w:t>básico.</w:t>
      </w:r>
      <w:r>
        <w:rPr>
          <w:sz w:val="24"/>
          <w:szCs w:val="24"/>
        </w:rPr>
        <w:t xml:space="preserve"> De acordo com Carvalho e Furtado, a proposta é o enfrentamento da “[...] situação de rua entre pessoas com agravos de saúde mental por meio da oferta de moradia permanente integrada a serviços de apoio habitacional, clínico e de integração comunitária.” (Carvalho e Furtado, 2022, 0.134). Numa perspectiva nacional vemos que,</w:t>
      </w:r>
    </w:p>
    <w:p w:rsidR="00265AA2" w:rsidRDefault="000433E6">
      <w:pPr>
        <w:spacing w:before="240" w:after="240" w:line="240" w:lineRule="auto"/>
        <w:ind w:left="2267"/>
        <w:jc w:val="both"/>
        <w:rPr>
          <w:sz w:val="20"/>
          <w:szCs w:val="20"/>
        </w:rPr>
      </w:pPr>
      <w:r>
        <w:rPr>
          <w:sz w:val="20"/>
          <w:szCs w:val="20"/>
        </w:rPr>
        <w:t>No Brasil, o Governo Federal adotou, em 2014, o HF como referência para o desenvolvimento de um conjunto de experiências locais de moradia apoiada específicas para usuários de drogas em situação de rua. Atualmente, o modelo tem sido debatido no país como uma solução para a falta de moradia para a população em situação de rua e foi instituído como um programa nacional – Programa Moradia Primeiro – vinculado ao atual Ministério da Mulher, da Família e dos Direitos Humanos.  (Carvalho e Furtado, 2022, p.134)</w:t>
      </w:r>
      <w:r>
        <w:rPr>
          <w:i/>
          <w:sz w:val="20"/>
          <w:szCs w:val="20"/>
        </w:rPr>
        <w:t xml:space="preserve">. </w:t>
      </w:r>
    </w:p>
    <w:p w:rsidR="00265AA2" w:rsidRDefault="000433E6">
      <w:pPr>
        <w:spacing w:before="240" w:after="240" w:line="360" w:lineRule="auto"/>
        <w:ind w:firstLine="720"/>
        <w:jc w:val="both"/>
        <w:rPr>
          <w:sz w:val="24"/>
          <w:szCs w:val="24"/>
        </w:rPr>
      </w:pPr>
      <w:r>
        <w:rPr>
          <w:sz w:val="24"/>
          <w:szCs w:val="24"/>
        </w:rPr>
        <w:t xml:space="preserve">Novamente observa-se uma tendência nas políticas sociais brasileiras, que se reduzem a “copiar modelos importados” sem considerar as particularidades da </w:t>
      </w:r>
      <w:r>
        <w:rPr>
          <w:sz w:val="24"/>
          <w:szCs w:val="24"/>
        </w:rPr>
        <w:lastRenderedPageBreak/>
        <w:t>realidade a que estamos imersos. Certamente a inserção em situação de rua, bem como a ausência de recursos para aquisição de uma habitação, é uma questão coletiva, como uma das expressões da questão social, mas os gestores e planejadores das políticas parecem não querer perceber que a realidade brasileira nas suas singularidades, é essencialmente distinta das realidades norte americana e européia. Se no Brasil, há um severo déficit habitacional de 5,9milhões de unidades, de acordo com a Fundação João Pinheiro (2025)</w:t>
      </w:r>
      <w:r w:rsidR="00AA2EE0">
        <w:rPr>
          <w:sz w:val="24"/>
          <w:szCs w:val="24"/>
        </w:rPr>
        <w:t xml:space="preserve"> </w:t>
      </w:r>
      <w:r>
        <w:rPr>
          <w:sz w:val="24"/>
          <w:szCs w:val="24"/>
        </w:rPr>
        <w:t xml:space="preserve">para os diversos segmentos da classe trabalhadora, como será para seus estratos mais pauperizados? </w:t>
      </w:r>
      <w:r>
        <w:rPr>
          <w:sz w:val="24"/>
          <w:szCs w:val="24"/>
        </w:rPr>
        <w:br/>
      </w:r>
      <w:r>
        <w:rPr>
          <w:sz w:val="24"/>
          <w:szCs w:val="24"/>
        </w:rPr>
        <w:tab/>
        <w:t xml:space="preserve">O município de Niterói, de acordo com o Censo do IBGE de 2024, atualmente possui 516.720 habitantes e conforme levantamento realizado pela SEMAES através do Cadúnico, desta população </w:t>
      </w:r>
      <w:r w:rsidR="00C76402">
        <w:rPr>
          <w:sz w:val="24"/>
          <w:szCs w:val="24"/>
        </w:rPr>
        <w:t>cerca de 27% se encontram</w:t>
      </w:r>
      <w:r>
        <w:rPr>
          <w:sz w:val="24"/>
          <w:szCs w:val="24"/>
        </w:rPr>
        <w:t xml:space="preserve"> em situação de rua. Em que medida, e aqui novamente voltamos à questão orçamentária, o poder público municipal apresenta condições de tornar essa proposta uma realidade concreta? Em nossa análise, há uma utopia que omite a realidade das desigualdades sociais.</w:t>
      </w:r>
      <w:r>
        <w:rPr>
          <w:sz w:val="24"/>
          <w:szCs w:val="24"/>
        </w:rPr>
        <w:br/>
      </w:r>
      <w:r>
        <w:rPr>
          <w:sz w:val="24"/>
          <w:szCs w:val="24"/>
        </w:rPr>
        <w:tab/>
        <w:t xml:space="preserve">Com relação ao artigo 5º da mesma lei já citada, </w:t>
      </w:r>
    </w:p>
    <w:p w:rsidR="00265AA2" w:rsidRDefault="000433E6">
      <w:pPr>
        <w:spacing w:before="240" w:after="240" w:line="240" w:lineRule="auto"/>
        <w:ind w:left="2267"/>
        <w:jc w:val="both"/>
        <w:rPr>
          <w:sz w:val="20"/>
          <w:szCs w:val="20"/>
        </w:rPr>
      </w:pPr>
      <w:r>
        <w:rPr>
          <w:sz w:val="20"/>
          <w:szCs w:val="20"/>
        </w:rPr>
        <w:t xml:space="preserve">O </w:t>
      </w:r>
      <w:r>
        <w:rPr>
          <w:i/>
          <w:sz w:val="20"/>
          <w:szCs w:val="20"/>
        </w:rPr>
        <w:t>acolhimento responsável</w:t>
      </w:r>
      <w:r>
        <w:rPr>
          <w:sz w:val="20"/>
          <w:szCs w:val="20"/>
        </w:rPr>
        <w:t xml:space="preserve"> e tecnicamente orientado previsto nesta Lei será realizado com respeito à dignidade da pessoa assistida e no interesse exclusivo de beneficiar sua saúde, visando alcançar sua recuperação pela reinserção na família, no trabalho e na comunidade.</w:t>
      </w:r>
    </w:p>
    <w:p w:rsidR="00F67C7B" w:rsidRDefault="000433E6" w:rsidP="00F67C7B">
      <w:pPr>
        <w:spacing w:before="240" w:after="240" w:line="360" w:lineRule="auto"/>
        <w:ind w:firstLine="720"/>
        <w:jc w:val="both"/>
        <w:rPr>
          <w:sz w:val="24"/>
          <w:szCs w:val="24"/>
        </w:rPr>
      </w:pPr>
      <w:r>
        <w:rPr>
          <w:sz w:val="24"/>
          <w:szCs w:val="24"/>
        </w:rPr>
        <w:t xml:space="preserve">A utilização deste conceito, ainda que polissêmico, nos remete ao campo da Psicologia, como uma modalidade terapêutica bem como se refere a relações de afeto, empatia, apoio emocional e sentimentos. Também pode ser compreendido como uma ação de </w:t>
      </w:r>
      <w:r w:rsidR="0069178F">
        <w:rPr>
          <w:sz w:val="24"/>
          <w:szCs w:val="24"/>
        </w:rPr>
        <w:t>cuidado.</w:t>
      </w:r>
      <w:r>
        <w:rPr>
          <w:sz w:val="24"/>
          <w:szCs w:val="24"/>
        </w:rPr>
        <w:t xml:space="preserve"> Na medida em que considero que há acolhimento para estas pessoas, está sendo </w:t>
      </w:r>
      <w:r w:rsidR="00C76402">
        <w:rPr>
          <w:sz w:val="24"/>
          <w:szCs w:val="24"/>
        </w:rPr>
        <w:t>imputado</w:t>
      </w:r>
      <w:r>
        <w:rPr>
          <w:sz w:val="24"/>
          <w:szCs w:val="24"/>
        </w:rPr>
        <w:t xml:space="preserve"> um caráter de protecionismo e tutela, ou seja, há uma proposta conservadora de entender tais sujeitos como fragilizados, desvalidos de qualquer possibilidade de incorporarem a luta social e a sua inserção em mobilizações políticas, para reivindicação de seus direitos. Assim, podem ser compreendidos como sem possibilidades de exercer sua emancipação política e </w:t>
      </w:r>
      <w:r>
        <w:rPr>
          <w:sz w:val="24"/>
          <w:szCs w:val="24"/>
        </w:rPr>
        <w:lastRenderedPageBreak/>
        <w:t>humana.</w:t>
      </w:r>
      <w:r>
        <w:rPr>
          <w:sz w:val="24"/>
          <w:szCs w:val="24"/>
        </w:rPr>
        <w:tab/>
      </w:r>
      <w:r>
        <w:rPr>
          <w:sz w:val="24"/>
          <w:szCs w:val="24"/>
        </w:rPr>
        <w:br/>
      </w:r>
      <w:r>
        <w:rPr>
          <w:sz w:val="24"/>
          <w:szCs w:val="24"/>
        </w:rPr>
        <w:tab/>
      </w:r>
    </w:p>
    <w:p w:rsidR="00265AA2" w:rsidRPr="00F67C7B" w:rsidRDefault="000433E6" w:rsidP="00F67C7B">
      <w:pPr>
        <w:pStyle w:val="PargrafodaLista"/>
        <w:numPr>
          <w:ilvl w:val="0"/>
          <w:numId w:val="5"/>
        </w:numPr>
        <w:spacing w:before="240" w:after="240" w:line="360" w:lineRule="auto"/>
        <w:jc w:val="both"/>
        <w:rPr>
          <w:b/>
          <w:sz w:val="24"/>
          <w:szCs w:val="24"/>
        </w:rPr>
      </w:pPr>
      <w:r w:rsidRPr="00F67C7B">
        <w:rPr>
          <w:b/>
          <w:sz w:val="24"/>
          <w:szCs w:val="24"/>
        </w:rPr>
        <w:t>CONCLUS</w:t>
      </w:r>
      <w:r w:rsidR="006729C0" w:rsidRPr="00F67C7B">
        <w:rPr>
          <w:b/>
          <w:sz w:val="24"/>
          <w:szCs w:val="24"/>
        </w:rPr>
        <w:t>ÃO</w:t>
      </w:r>
    </w:p>
    <w:p w:rsidR="00265AA2" w:rsidRDefault="000433E6">
      <w:pPr>
        <w:spacing w:before="240" w:after="240" w:line="360" w:lineRule="auto"/>
        <w:ind w:firstLine="720"/>
        <w:jc w:val="both"/>
        <w:rPr>
          <w:b/>
          <w:sz w:val="24"/>
          <w:szCs w:val="24"/>
        </w:rPr>
      </w:pPr>
      <w:r>
        <w:rPr>
          <w:sz w:val="24"/>
          <w:szCs w:val="24"/>
        </w:rPr>
        <w:t>Partindo destas breves reflexões, há também de se pensar a capilaridade para a discussão da relação das pessoas em situação de rua e o uso abusivo de drogas no aspecto assistencial, mas também no âmbito da saúde, da rede de saúde mental, pois espera-se que haja uma participação relevante levando em consideração o trabalho psicossocial e a relação conjunta com a assistência</w:t>
      </w:r>
      <w:r w:rsidR="00AA2EE0">
        <w:rPr>
          <w:sz w:val="24"/>
          <w:szCs w:val="24"/>
        </w:rPr>
        <w:t xml:space="preserve">. </w:t>
      </w:r>
      <w:r>
        <w:rPr>
          <w:sz w:val="24"/>
          <w:szCs w:val="24"/>
        </w:rPr>
        <w:t>Esta ausência de interlocução demonstra o entendimento da fragmentação da realidade, que é compreendida em partes e não na sua totalidade e contradições, marcando uma lógica conservadora.</w:t>
      </w:r>
      <w:r>
        <w:rPr>
          <w:sz w:val="24"/>
          <w:szCs w:val="24"/>
        </w:rPr>
        <w:br/>
      </w:r>
      <w:r>
        <w:rPr>
          <w:sz w:val="24"/>
          <w:szCs w:val="24"/>
        </w:rPr>
        <w:tab/>
        <w:t>A Rede de Atenção à Saúde Psicossocial (RAPS) foi instituída como desdobramento da Política Nacional de Saúde Mental, e na rede municipal de Niterói há dispositivos responsáveis por essa forma de cuidado, bem como os Ambulatórios Ampliados de Saúde Mental, Centros de Atenção Psicossocial, Serviços Residenciais Terapêuticos, Unidade de Acolhimento Infantil, Centro de Convivência e Cultura e o Hospital Psiquiátrico de Jurujuba, e contraditoriamente não estão inseridos nas diretrizes desse mesmo projeto e nem orientados conforme as respectivas particularidades e atribuições institucionais específicas de cada um.</w:t>
      </w:r>
      <w:r>
        <w:rPr>
          <w:sz w:val="24"/>
          <w:szCs w:val="24"/>
        </w:rPr>
        <w:br/>
      </w:r>
      <w:r>
        <w:rPr>
          <w:sz w:val="24"/>
          <w:szCs w:val="24"/>
        </w:rPr>
        <w:tab/>
        <w:t>Cabe aqui destacar que a RAPS já tem como modelo os princípios que a mesma lei está pleiteando, isto é, qual é dimensão prática e efetiva da intervenção que a prefeitura afirma estar realizando para essa população? De acordo com a Comissão de Saúde da Câmara de Niterói (2024), a rede de saúde mental enfrenta diversos desafios que partem desde a precariedade estrutural dos serviços, até sobre os vínculos empregatícios fragilizados, que, no contexto da saúde mental, podem ser compreendidos como anti-terapêuticos, principalmente pela necessidade do vínculo como intermédio para o cotidiano profissional. Ou seja, como implementar uma nova política quando a que se tem já está defasada?</w:t>
      </w:r>
      <w:r>
        <w:rPr>
          <w:sz w:val="24"/>
          <w:szCs w:val="24"/>
        </w:rPr>
        <w:br/>
      </w:r>
      <w:r>
        <w:rPr>
          <w:sz w:val="24"/>
          <w:szCs w:val="24"/>
        </w:rPr>
        <w:lastRenderedPageBreak/>
        <w:tab/>
        <w:t xml:space="preserve">Nesse sentido, o conteúdo do projeto não esclarece as formas de  sua operacionalização, deixando em aberto como essa dinâmica será implementada, pois da forma como está colocada, parece haver uma reedição de práticas pretéritas, nas quais se estabelecia unilateralmente, sob um aspecto higienista, a retirada de pessoas em situação de rua dos centros urbanos e suas respectivas alocações em espaços distantes e sem uma rede efetiva de serviços. </w:t>
      </w:r>
    </w:p>
    <w:p w:rsidR="00265AA2" w:rsidRDefault="00265AA2">
      <w:pPr>
        <w:ind w:left="720"/>
        <w:rPr>
          <w:b/>
          <w:sz w:val="24"/>
          <w:szCs w:val="24"/>
        </w:rPr>
      </w:pPr>
    </w:p>
    <w:p w:rsidR="00E7360B" w:rsidRDefault="000433E6" w:rsidP="00E7360B">
      <w:pPr>
        <w:rPr>
          <w:b/>
          <w:sz w:val="24"/>
          <w:szCs w:val="24"/>
        </w:rPr>
      </w:pPr>
      <w:r>
        <w:rPr>
          <w:b/>
          <w:sz w:val="24"/>
          <w:szCs w:val="24"/>
        </w:rPr>
        <w:t>REFERÊNCIAS</w:t>
      </w:r>
    </w:p>
    <w:p w:rsidR="00265AA2" w:rsidRPr="00E7360B" w:rsidRDefault="000433E6" w:rsidP="00E7360B">
      <w:pPr>
        <w:jc w:val="both"/>
        <w:rPr>
          <w:b/>
          <w:sz w:val="24"/>
          <w:szCs w:val="24"/>
        </w:rPr>
      </w:pPr>
      <w:r>
        <w:rPr>
          <w:sz w:val="24"/>
          <w:szCs w:val="24"/>
        </w:rPr>
        <w:br/>
        <w:t xml:space="preserve">BRASIL. Ministério dos Direitos Humanos e da Cidadania - MDHC.  </w:t>
      </w:r>
      <w:r>
        <w:rPr>
          <w:b/>
          <w:sz w:val="24"/>
          <w:szCs w:val="24"/>
        </w:rPr>
        <w:t>População em situação de rua</w:t>
      </w:r>
      <w:r>
        <w:rPr>
          <w:sz w:val="24"/>
          <w:szCs w:val="24"/>
        </w:rPr>
        <w:t>: diagnóstico com base nos dados e informações disponíveis em registros administrativos e sistemas do governo federal. Brasília, agosto de 2023.</w:t>
      </w:r>
      <w:r>
        <w:rPr>
          <w:sz w:val="24"/>
          <w:szCs w:val="24"/>
        </w:rPr>
        <w:br/>
        <w:t xml:space="preserve">BRASIL. Ministério do Desenvolvimento Social e Combate à Fome. Secretaria Nacional de Assistência Social. </w:t>
      </w:r>
      <w:r>
        <w:rPr>
          <w:b/>
          <w:sz w:val="24"/>
          <w:szCs w:val="24"/>
        </w:rPr>
        <w:t>Política Nacional de Assistência Social</w:t>
      </w:r>
      <w:r>
        <w:rPr>
          <w:sz w:val="24"/>
          <w:szCs w:val="24"/>
        </w:rPr>
        <w:t xml:space="preserve"> – PNAS/2004. Brasília, 2005. </w:t>
      </w:r>
      <w:r>
        <w:rPr>
          <w:sz w:val="24"/>
          <w:szCs w:val="24"/>
        </w:rPr>
        <w:br/>
        <w:t xml:space="preserve">BRASIL. Ministério da Saúde. </w:t>
      </w:r>
      <w:r>
        <w:rPr>
          <w:b/>
          <w:sz w:val="24"/>
          <w:szCs w:val="24"/>
        </w:rPr>
        <w:t>Rede de Atenção Psicossocial</w:t>
      </w:r>
      <w:r>
        <w:rPr>
          <w:sz w:val="24"/>
          <w:szCs w:val="24"/>
        </w:rPr>
        <w:t xml:space="preserve">. Brasília, s/d. CARRETERO,Gustavo Henrique. A rearticulação conservadora no bolsonarismo: apontamentos iniciais sobre a sociabilidade autoritária brasileira. </w:t>
      </w:r>
      <w:r>
        <w:rPr>
          <w:b/>
          <w:sz w:val="24"/>
          <w:szCs w:val="24"/>
        </w:rPr>
        <w:t xml:space="preserve">Psicologia. </w:t>
      </w:r>
      <w:r>
        <w:rPr>
          <w:sz w:val="24"/>
          <w:szCs w:val="24"/>
        </w:rPr>
        <w:t>São Paulo,USP, volume 35, 2024, p.1-10.</w:t>
      </w:r>
      <w:hyperlink r:id="rId8">
        <w:r w:rsidR="00265AA2">
          <w:rPr>
            <w:color w:val="3867CE"/>
            <w:sz w:val="24"/>
            <w:szCs w:val="24"/>
            <w:highlight w:val="white"/>
            <w:u w:val="single"/>
          </w:rPr>
          <w:t>https://doi.org/10.1590/0103-6564e230101</w:t>
        </w:r>
      </w:hyperlink>
      <w:r>
        <w:rPr>
          <w:sz w:val="24"/>
          <w:szCs w:val="24"/>
        </w:rPr>
        <w:br/>
        <w:t>CARVALHO, Adriana Pinheiro e FURTADO, Juarez Pereira. Fatores contextuais e implantação da intervenção HousingFirst: uma revisão da literatura</w:t>
      </w:r>
      <w:r>
        <w:rPr>
          <w:b/>
          <w:sz w:val="24"/>
          <w:szCs w:val="24"/>
          <w:highlight w:val="white"/>
        </w:rPr>
        <w:t>Ciência e Saúde Coletiva</w:t>
      </w:r>
      <w:r>
        <w:rPr>
          <w:sz w:val="24"/>
          <w:szCs w:val="24"/>
          <w:highlight w:val="white"/>
        </w:rPr>
        <w:t xml:space="preserve"> 27 (01),  Jan 2022,</w:t>
      </w:r>
      <w:r>
        <w:rPr>
          <w:sz w:val="24"/>
          <w:szCs w:val="24"/>
        </w:rPr>
        <w:t xml:space="preserve"> p. 133-150, </w:t>
      </w:r>
      <w:hyperlink r:id="rId9">
        <w:r w:rsidR="00265AA2">
          <w:rPr>
            <w:color w:val="3867CE"/>
            <w:sz w:val="24"/>
            <w:szCs w:val="24"/>
            <w:highlight w:val="white"/>
          </w:rPr>
          <w:t>https://doi.org/10.1590/1413-81232022271.1964202</w:t>
        </w:r>
      </w:hyperlink>
      <w:r>
        <w:rPr>
          <w:sz w:val="24"/>
          <w:szCs w:val="24"/>
        </w:rPr>
        <w:t xml:space="preserve">. </w:t>
      </w:r>
      <w:r>
        <w:rPr>
          <w:sz w:val="24"/>
          <w:szCs w:val="24"/>
        </w:rPr>
        <w:br/>
        <w:t>DE SOUZA</w:t>
      </w:r>
      <w:r>
        <w:rPr>
          <w:b/>
          <w:sz w:val="24"/>
          <w:szCs w:val="24"/>
        </w:rPr>
        <w:t xml:space="preserve">, </w:t>
      </w:r>
      <w:r>
        <w:rPr>
          <w:sz w:val="24"/>
          <w:szCs w:val="24"/>
        </w:rPr>
        <w:t xml:space="preserve">Eugenia, racismo científico e antirracismo no Brasil: debates sobre ciência, raça e imigração no movimento eugênico brasileiro (1920-1930). </w:t>
      </w:r>
      <w:r>
        <w:rPr>
          <w:b/>
          <w:sz w:val="24"/>
          <w:szCs w:val="24"/>
        </w:rPr>
        <w:t xml:space="preserve">Revista Brasileira de História. </w:t>
      </w:r>
      <w:r>
        <w:rPr>
          <w:sz w:val="24"/>
          <w:szCs w:val="24"/>
        </w:rPr>
        <w:t>São Paulo, 42, Jan-Apr 2022.</w:t>
      </w:r>
      <w:hyperlink r:id="rId10">
        <w:r w:rsidR="00265AA2">
          <w:rPr>
            <w:color w:val="3867CE"/>
            <w:sz w:val="24"/>
            <w:szCs w:val="24"/>
          </w:rPr>
          <w:t>https://doi.org/10.1590/1806-93472022v42n89-06</w:t>
        </w:r>
      </w:hyperlink>
      <w:r>
        <w:rPr>
          <w:sz w:val="24"/>
          <w:szCs w:val="24"/>
        </w:rPr>
        <w:br/>
        <w:t xml:space="preserve">INSTITUTO BRASILEIRO DE GEOGRAFIA E ESTATÍSTICA (IBGE). </w:t>
      </w:r>
      <w:r>
        <w:rPr>
          <w:b/>
          <w:sz w:val="24"/>
          <w:szCs w:val="24"/>
        </w:rPr>
        <w:t>Cidades e Estados</w:t>
      </w:r>
      <w:r>
        <w:rPr>
          <w:sz w:val="24"/>
          <w:szCs w:val="24"/>
        </w:rPr>
        <w:t>, Niterói (RJ). Disponível em: &lt;</w:t>
      </w:r>
      <w:hyperlink r:id="rId11">
        <w:r w:rsidR="00265AA2">
          <w:rPr>
            <w:color w:val="1155CC"/>
            <w:sz w:val="24"/>
            <w:szCs w:val="24"/>
            <w:u w:val="single"/>
          </w:rPr>
          <w:t>https://www.ibge.gov.br/cidades-e-estados/rj/niteroi.html</w:t>
        </w:r>
      </w:hyperlink>
      <w:r>
        <w:rPr>
          <w:sz w:val="24"/>
          <w:szCs w:val="24"/>
        </w:rPr>
        <w:t xml:space="preserve">&gt;. </w:t>
      </w:r>
      <w:r>
        <w:rPr>
          <w:sz w:val="24"/>
          <w:szCs w:val="24"/>
        </w:rPr>
        <w:br/>
        <w:t xml:space="preserve">FERREIRA, Gracyelle Costa. A origem da Política Social no Brasil: Eugenia, Questão Social e a atuação de visitadoras, enfermeiras, nutricionistas, e assistentes sociais. </w:t>
      </w:r>
      <w:r>
        <w:rPr>
          <w:b/>
          <w:sz w:val="24"/>
          <w:szCs w:val="24"/>
        </w:rPr>
        <w:t>O Social em Questão</w:t>
      </w:r>
      <w:r>
        <w:rPr>
          <w:sz w:val="24"/>
          <w:szCs w:val="24"/>
        </w:rPr>
        <w:t xml:space="preserve"> - rio de janeiro, Ano XXVIII - nº 62 - Mai a Ago /2025. ISSN: 2238-9091 (Online). </w:t>
      </w:r>
      <w:hyperlink r:id="rId12">
        <w:r w:rsidR="00265AA2">
          <w:rPr>
            <w:color w:val="1155CC"/>
            <w:sz w:val="24"/>
            <w:szCs w:val="24"/>
          </w:rPr>
          <w:t>http://doi.org/10.17771/PUCRio.OSQ.69928</w:t>
        </w:r>
      </w:hyperlink>
      <w:r>
        <w:rPr>
          <w:sz w:val="24"/>
          <w:szCs w:val="24"/>
        </w:rPr>
        <w:br/>
        <w:t>MACEDO,João Paulo eSOUSA, Adrielly Pereira</w:t>
      </w:r>
      <w:r>
        <w:rPr>
          <w:b/>
          <w:sz w:val="24"/>
          <w:szCs w:val="24"/>
        </w:rPr>
        <w:t xml:space="preserve">. </w:t>
      </w:r>
      <w:r>
        <w:rPr>
          <w:sz w:val="24"/>
          <w:szCs w:val="24"/>
        </w:rPr>
        <w:t xml:space="preserve">População em Situação de Rua: </w:t>
      </w:r>
      <w:r>
        <w:rPr>
          <w:sz w:val="24"/>
          <w:szCs w:val="24"/>
        </w:rPr>
        <w:lastRenderedPageBreak/>
        <w:t xml:space="preserve">Expressão (Im)pertinente da “Questão Social”. </w:t>
      </w:r>
      <w:r>
        <w:rPr>
          <w:b/>
          <w:sz w:val="24"/>
          <w:szCs w:val="24"/>
        </w:rPr>
        <w:t>Psicologia: Teoria e Pesquisa.</w:t>
      </w:r>
      <w:r>
        <w:rPr>
          <w:sz w:val="24"/>
          <w:szCs w:val="24"/>
        </w:rPr>
        <w:t xml:space="preserve">Brasília, 2019, v.35,. DOI: </w:t>
      </w:r>
      <w:hyperlink r:id="rId13">
        <w:r w:rsidR="00265AA2">
          <w:rPr>
            <w:color w:val="1155CC"/>
            <w:sz w:val="24"/>
            <w:szCs w:val="24"/>
            <w:u w:val="single"/>
          </w:rPr>
          <w:t>https://dx.doi.org/10.1590/0102.3772e35510</w:t>
        </w:r>
      </w:hyperlink>
      <w:r>
        <w:rPr>
          <w:sz w:val="24"/>
          <w:szCs w:val="24"/>
        </w:rPr>
        <w:br/>
        <w:t>MATTOS,</w:t>
      </w:r>
      <w:r w:rsidR="00AA2EE0">
        <w:rPr>
          <w:sz w:val="24"/>
          <w:szCs w:val="24"/>
        </w:rPr>
        <w:t xml:space="preserve"> </w:t>
      </w:r>
      <w:r>
        <w:rPr>
          <w:sz w:val="24"/>
          <w:szCs w:val="24"/>
        </w:rPr>
        <w:t>Marcelo Badaró.Governo Bolsonaro Neofascismo</w:t>
      </w:r>
      <w:r>
        <w:rPr>
          <w:sz w:val="24"/>
          <w:szCs w:val="24"/>
        </w:rPr>
        <w:tab/>
        <w:t xml:space="preserve"> e  autocracia burguesa no Brasil. </w:t>
      </w:r>
      <w:r>
        <w:rPr>
          <w:b/>
          <w:sz w:val="24"/>
          <w:szCs w:val="24"/>
        </w:rPr>
        <w:t>Relações Internacionais</w:t>
      </w:r>
      <w:r>
        <w:rPr>
          <w:sz w:val="24"/>
          <w:szCs w:val="24"/>
        </w:rPr>
        <w:t xml:space="preserve">. Março, 2022, pp.025-039.  </w:t>
      </w:r>
      <w:hyperlink r:id="rId14">
        <w:r w:rsidR="00265AA2">
          <w:rPr>
            <w:color w:val="1155CC"/>
            <w:sz w:val="24"/>
            <w:szCs w:val="24"/>
            <w:u w:val="single"/>
          </w:rPr>
          <w:t>https://doi.org/10.23906/ri2022.73a03</w:t>
        </w:r>
      </w:hyperlink>
      <w:r>
        <w:rPr>
          <w:sz w:val="24"/>
          <w:szCs w:val="24"/>
        </w:rPr>
        <w:br/>
        <w:t xml:space="preserve">MUGNATTO, Silvia; LIBRELON, Rachel. </w:t>
      </w:r>
      <w:r>
        <w:rPr>
          <w:b/>
          <w:sz w:val="24"/>
          <w:szCs w:val="24"/>
        </w:rPr>
        <w:t>Pesquisa aponta que o déficit habitacional brasileiro está em 5,9 milhões de unidades</w:t>
      </w:r>
      <w:r>
        <w:rPr>
          <w:sz w:val="24"/>
          <w:szCs w:val="24"/>
        </w:rPr>
        <w:t>. Agência Câmara de Notícias, Brasília, 2025. Disponível em: &lt;</w:t>
      </w:r>
      <w:hyperlink r:id="rId15">
        <w:r w:rsidR="00CD3956">
          <w:rPr>
            <w:color w:val="1155CC"/>
            <w:sz w:val="24"/>
            <w:szCs w:val="24"/>
            <w:u w:val="single"/>
          </w:rPr>
          <w:t>https://oglobo.globo.com/rio/bairros/niteroi/noticia/2024/04/17/saude-mental-profissionais-denunciam-precariedade-em-ambulatorio-de-niteroi.ghtml</w:t>
        </w:r>
      </w:hyperlink>
      <w:r>
        <w:rPr>
          <w:sz w:val="24"/>
          <w:szCs w:val="24"/>
        </w:rPr>
        <w:t>&gt; Acesso em 1 de junho de 2025.</w:t>
      </w:r>
      <w:r>
        <w:rPr>
          <w:sz w:val="24"/>
          <w:szCs w:val="24"/>
        </w:rPr>
        <w:br/>
      </w:r>
      <w:r w:rsidR="00F67C7B">
        <w:rPr>
          <w:sz w:val="24"/>
          <w:szCs w:val="24"/>
        </w:rPr>
        <w:t>NEDER, Lívia</w:t>
      </w:r>
      <w:r>
        <w:rPr>
          <w:sz w:val="24"/>
          <w:szCs w:val="24"/>
        </w:rPr>
        <w:t xml:space="preserve">. Saúde mental: profissionais denunciam precariedade em ambulatório de Niterói. </w:t>
      </w:r>
      <w:r>
        <w:rPr>
          <w:b/>
          <w:sz w:val="24"/>
          <w:szCs w:val="24"/>
        </w:rPr>
        <w:t>O Globo</w:t>
      </w:r>
      <w:r>
        <w:rPr>
          <w:sz w:val="24"/>
          <w:szCs w:val="24"/>
        </w:rPr>
        <w:t>, Rio de Janeiro, 2024. Disponível em: &lt;</w:t>
      </w:r>
      <w:hyperlink r:id="rId16">
        <w:r w:rsidR="00265AA2">
          <w:rPr>
            <w:color w:val="1155CC"/>
            <w:sz w:val="24"/>
            <w:szCs w:val="24"/>
            <w:u w:val="single"/>
          </w:rPr>
          <w:t>https://oglobo.globo.com/rio/bairros/niteroi/noticia/2024/04/17/saude-mental-profissionais-denunciam-precariedade-em-ambulatorio-de-niteroi.ghtml</w:t>
        </w:r>
      </w:hyperlink>
      <w:r>
        <w:rPr>
          <w:sz w:val="24"/>
          <w:szCs w:val="24"/>
        </w:rPr>
        <w:t>&gt; Acesso em 31 de maio de 2025.</w:t>
      </w:r>
      <w:r>
        <w:rPr>
          <w:sz w:val="24"/>
          <w:szCs w:val="24"/>
        </w:rPr>
        <w:br/>
        <w:t xml:space="preserve">PREFEITURA MUNICIPAL DE NITERÓI. </w:t>
      </w:r>
      <w:r>
        <w:rPr>
          <w:b/>
          <w:sz w:val="24"/>
          <w:szCs w:val="24"/>
        </w:rPr>
        <w:t>Lei Nº 3997 de 16 de abril de 2025</w:t>
      </w:r>
      <w:r>
        <w:rPr>
          <w:sz w:val="24"/>
          <w:szCs w:val="24"/>
        </w:rPr>
        <w:t>. Institui a Política Municipal de Acolhimento Humanizado e Assistência Integral a Pessoas em Uso Abusivo de Alcóol e/ou Outras Drogas e/ou Transtornos Mentais em Niterói, bem como estabelece diretrizes para a assistência à população em situação de rua. abril, 2025.</w:t>
      </w:r>
      <w:r>
        <w:rPr>
          <w:sz w:val="24"/>
          <w:szCs w:val="24"/>
        </w:rPr>
        <w:br/>
        <w:t xml:space="preserve">_______________________________. </w:t>
      </w:r>
      <w:r>
        <w:rPr>
          <w:b/>
          <w:sz w:val="24"/>
          <w:szCs w:val="24"/>
        </w:rPr>
        <w:t>Prefeitura de Niterói amplia acolhimento a pessoas em situação de rua</w:t>
      </w:r>
      <w:r>
        <w:rPr>
          <w:sz w:val="24"/>
          <w:szCs w:val="24"/>
        </w:rPr>
        <w:t>. Niterói, RJ, 2024. Disponível em: &lt;</w:t>
      </w:r>
      <w:hyperlink r:id="rId17">
        <w:r w:rsidR="00265AA2">
          <w:rPr>
            <w:color w:val="1155CC"/>
            <w:sz w:val="24"/>
            <w:szCs w:val="24"/>
            <w:u w:val="single"/>
          </w:rPr>
          <w:t>https://niteroi.rj.gov.br/prefeitura-de-niteroi-amplia-acolhimento-a-pessoas-em-situacao-de-rua/</w:t>
        </w:r>
      </w:hyperlink>
      <w:r>
        <w:rPr>
          <w:sz w:val="24"/>
          <w:szCs w:val="24"/>
        </w:rPr>
        <w:t>&gt;. Acesso em 26 de maio de 2025.</w:t>
      </w:r>
      <w:r>
        <w:rPr>
          <w:sz w:val="24"/>
          <w:szCs w:val="24"/>
        </w:rPr>
        <w:br/>
        <w:t xml:space="preserve">SILVEIRA, Jucimeri Isolda. Assistência social em risco: conservadorismo e luta social por direitos. </w:t>
      </w:r>
      <w:r>
        <w:rPr>
          <w:b/>
          <w:sz w:val="24"/>
          <w:szCs w:val="24"/>
        </w:rPr>
        <w:t>Serviço Social e Sociedade</w:t>
      </w:r>
      <w:r>
        <w:rPr>
          <w:sz w:val="24"/>
          <w:szCs w:val="24"/>
        </w:rPr>
        <w:t xml:space="preserve">, São Paulo, n. 130, p. 487-506, set./dez. 2017. </w:t>
      </w:r>
      <w:hyperlink r:id="rId18">
        <w:r w:rsidR="00265AA2">
          <w:rPr>
            <w:color w:val="1155CC"/>
            <w:sz w:val="24"/>
            <w:szCs w:val="24"/>
            <w:u w:val="single"/>
          </w:rPr>
          <w:t>https://doi.org/10.1590/0101-6628.120</w:t>
        </w:r>
      </w:hyperlink>
      <w:r>
        <w:rPr>
          <w:sz w:val="24"/>
          <w:szCs w:val="24"/>
        </w:rPr>
        <w:t xml:space="preserve">.  </w:t>
      </w:r>
      <w:r>
        <w:rPr>
          <w:sz w:val="24"/>
          <w:szCs w:val="24"/>
        </w:rPr>
        <w:br/>
        <w:t xml:space="preserve">SCHLEGEL, Rogerio e VAZQUEZ, Daniel Arias. Do Bolsa Família ao Arcabouço Fiscal: perspectivas sobre a agenda social do terceiro Governo Lula. </w:t>
      </w:r>
      <w:r>
        <w:rPr>
          <w:b/>
          <w:sz w:val="24"/>
          <w:szCs w:val="24"/>
        </w:rPr>
        <w:t>Cadernos de Saúde Pública</w:t>
      </w:r>
      <w:r>
        <w:rPr>
          <w:i/>
          <w:sz w:val="24"/>
          <w:szCs w:val="24"/>
        </w:rPr>
        <w:t>,</w:t>
      </w:r>
      <w:r>
        <w:rPr>
          <w:sz w:val="24"/>
          <w:szCs w:val="24"/>
        </w:rPr>
        <w:t xml:space="preserve"> 39 (7) 17 Jul 2023, </w:t>
      </w:r>
      <w:hyperlink r:id="rId19">
        <w:r w:rsidR="00265AA2">
          <w:rPr>
            <w:sz w:val="24"/>
            <w:szCs w:val="24"/>
          </w:rPr>
          <w:t>https://doi.org/10.1590/0102-311XPT108623</w:t>
        </w:r>
      </w:hyperlink>
      <w:r w:rsidR="00C47BDB">
        <w:rPr>
          <w:sz w:val="24"/>
          <w:szCs w:val="24"/>
        </w:rPr>
        <w:t>.</w:t>
      </w:r>
    </w:p>
    <w:sectPr w:rsidR="00265AA2" w:rsidRPr="00E7360B" w:rsidSect="00F91513">
      <w:headerReference w:type="default" r:id="rId20"/>
      <w:pgSz w:w="11909" w:h="16834"/>
      <w:pgMar w:top="1701" w:right="1134" w:bottom="1134" w:left="1701" w:header="3401"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90A" w:rsidRDefault="00C8390A">
      <w:pPr>
        <w:spacing w:line="240" w:lineRule="auto"/>
      </w:pPr>
      <w:r>
        <w:separator/>
      </w:r>
    </w:p>
  </w:endnote>
  <w:endnote w:type="continuationSeparator" w:id="1">
    <w:p w:rsidR="00C8390A" w:rsidRDefault="00C8390A">
      <w:pPr>
        <w:spacing w:line="240" w:lineRule="auto"/>
      </w:pPr>
      <w:r>
        <w:continuationSeparator/>
      </w:r>
    </w:p>
  </w:endnote>
  <w:endnote w:id="2">
    <w:p w:rsidR="00C76402" w:rsidRPr="00CD3956" w:rsidRDefault="00C76402" w:rsidP="00C76402">
      <w:pPr>
        <w:pStyle w:val="Textodenotadefim"/>
        <w:jc w:val="both"/>
        <w:rPr>
          <w:lang w:val="en-US"/>
        </w:rPr>
      </w:pPr>
      <w:r>
        <w:rPr>
          <w:rStyle w:val="Refdenotadefim"/>
        </w:rPr>
        <w:endnoteRef/>
      </w:r>
      <w:r w:rsidRPr="00C76402">
        <w:t xml:space="preserve"> Doutora em Serviço Social pela Universidade Federal do Rio de Janeiro (UFRJ), professora Associada do curso de graduação e Pós-Graduação de Serviço Social de Niterói da Universidade Federal Fluminense (UFF), líder pelo </w:t>
      </w:r>
      <w:r w:rsidR="0069178F" w:rsidRPr="00C76402">
        <w:t>CNPq</w:t>
      </w:r>
      <w:r w:rsidRPr="00C76402">
        <w:t xml:space="preserve"> do Núcleo de Estudos dos Fundamentos do Serviço Social (NEFSS) coordenadora do projeto “Conservadorismo e Serviço Social: as influências contemporâneas no processo de produção do conhecimento e no trabalho profissional”. </w:t>
      </w:r>
      <w:r w:rsidRPr="00CD3956">
        <w:rPr>
          <w:lang w:val="en-US"/>
        </w:rPr>
        <w:t xml:space="preserve">E-mail: </w:t>
      </w:r>
      <w:hyperlink r:id="rId1" w:history="1">
        <w:r w:rsidRPr="00CD3956">
          <w:rPr>
            <w:rStyle w:val="Hyperlink"/>
            <w:lang w:val="en-US"/>
          </w:rPr>
          <w:t>adriana.ramos.4791@gmail.com</w:t>
        </w:r>
      </w:hyperlink>
      <w:r w:rsidRPr="00CD3956">
        <w:rPr>
          <w:lang w:val="en-US"/>
        </w:rPr>
        <w:t>. Lattes:  </w:t>
      </w:r>
      <w:hyperlink r:id="rId2" w:history="1">
        <w:r w:rsidRPr="00CD3956">
          <w:rPr>
            <w:rStyle w:val="Hyperlink"/>
            <w:lang w:val="en-US"/>
          </w:rPr>
          <w:t>http://lattes.cnpq.br/1988717802364396</w:t>
        </w:r>
      </w:hyperlink>
    </w:p>
  </w:endnote>
  <w:endnote w:id="3">
    <w:p w:rsidR="00C76402" w:rsidRDefault="00C76402" w:rsidP="00C42273">
      <w:pPr>
        <w:pStyle w:val="Textodenotadefim"/>
        <w:jc w:val="both"/>
      </w:pPr>
      <w:r>
        <w:rPr>
          <w:rStyle w:val="Refdenotadefim"/>
        </w:rPr>
        <w:endnoteRef/>
      </w:r>
      <w:r w:rsidRPr="00C76402">
        <w:t xml:space="preserve">Graduando em Serviço Social pela Universidade Federal Fluminense (UFF); Bolsista de Iniciação Científica do CNPq no Núcleo de Estudos dos Fundamentos do Serviço Social (NEFSS) orientado pela Profa. Dra. Adriana Ramos no projeto Conservadorismo e Serviço Social: as influências contemporâneas no processo de produção do conhecimento e no trabalho profissional. E-mail: </w:t>
      </w:r>
      <w:hyperlink r:id="rId3" w:history="1">
        <w:r w:rsidRPr="00C76402">
          <w:rPr>
            <w:rStyle w:val="Hyperlink"/>
          </w:rPr>
          <w:t>juansiqueira5678@gmail.com</w:t>
        </w:r>
      </w:hyperlink>
      <w:r w:rsidRPr="00C76402">
        <w:t xml:space="preserve">. Lattes: </w:t>
      </w:r>
      <w:hyperlink r:id="rId4" w:history="1">
        <w:r w:rsidRPr="00453576">
          <w:rPr>
            <w:rStyle w:val="Hyperlink"/>
          </w:rPr>
          <w:t>http://lattes.cnpq.br/1620887387386379</w:t>
        </w:r>
      </w:hyperlink>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90A" w:rsidRDefault="00C8390A">
      <w:pPr>
        <w:spacing w:line="240" w:lineRule="auto"/>
      </w:pPr>
      <w:r>
        <w:separator/>
      </w:r>
    </w:p>
  </w:footnote>
  <w:footnote w:type="continuationSeparator" w:id="1">
    <w:p w:rsidR="00C8390A" w:rsidRDefault="00C8390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AA2" w:rsidRDefault="000433E6">
    <w:r>
      <w:rPr>
        <w:noProof/>
      </w:rPr>
      <w:drawing>
        <wp:anchor distT="0" distB="0" distL="0" distR="0" simplePos="0" relativeHeight="251658240" behindDoc="1" locked="0" layoutInCell="1" allowOverlap="1">
          <wp:simplePos x="0" y="0"/>
          <wp:positionH relativeFrom="page">
            <wp:posOffset>0</wp:posOffset>
          </wp:positionH>
          <wp:positionV relativeFrom="page">
            <wp:posOffset>6985</wp:posOffset>
          </wp:positionV>
          <wp:extent cx="7563485" cy="1072705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058"/>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91D1B"/>
    <w:multiLevelType w:val="hybridMultilevel"/>
    <w:tmpl w:val="ABF0C1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F556FEC"/>
    <w:multiLevelType w:val="multilevel"/>
    <w:tmpl w:val="F330441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5203B0F"/>
    <w:multiLevelType w:val="multilevel"/>
    <w:tmpl w:val="F14CB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CB94100"/>
    <w:multiLevelType w:val="hybridMultilevel"/>
    <w:tmpl w:val="B9E4FC26"/>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80701AD"/>
    <w:multiLevelType w:val="multilevel"/>
    <w:tmpl w:val="F14CB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265AA2"/>
    <w:rsid w:val="000433E6"/>
    <w:rsid w:val="000F7E39"/>
    <w:rsid w:val="00265AA2"/>
    <w:rsid w:val="002B30E4"/>
    <w:rsid w:val="002C2A16"/>
    <w:rsid w:val="003239B1"/>
    <w:rsid w:val="00353341"/>
    <w:rsid w:val="00414B97"/>
    <w:rsid w:val="00453576"/>
    <w:rsid w:val="004C6679"/>
    <w:rsid w:val="005903E8"/>
    <w:rsid w:val="005C3469"/>
    <w:rsid w:val="006729C0"/>
    <w:rsid w:val="0069178F"/>
    <w:rsid w:val="006B7513"/>
    <w:rsid w:val="007A5E67"/>
    <w:rsid w:val="00836733"/>
    <w:rsid w:val="00836E32"/>
    <w:rsid w:val="008C5D83"/>
    <w:rsid w:val="008D0788"/>
    <w:rsid w:val="00A52C61"/>
    <w:rsid w:val="00AA2EE0"/>
    <w:rsid w:val="00AB463E"/>
    <w:rsid w:val="00C42273"/>
    <w:rsid w:val="00C47BDB"/>
    <w:rsid w:val="00C76402"/>
    <w:rsid w:val="00C8390A"/>
    <w:rsid w:val="00CD3956"/>
    <w:rsid w:val="00E346F6"/>
    <w:rsid w:val="00E7360B"/>
    <w:rsid w:val="00EF5AE6"/>
    <w:rsid w:val="00F67C7B"/>
    <w:rsid w:val="00F915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513"/>
  </w:style>
  <w:style w:type="paragraph" w:styleId="Ttulo1">
    <w:name w:val="heading 1"/>
    <w:basedOn w:val="Normal"/>
    <w:next w:val="Normal"/>
    <w:uiPriority w:val="9"/>
    <w:qFormat/>
    <w:rsid w:val="00F91513"/>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F91513"/>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F91513"/>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F91513"/>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F91513"/>
    <w:pPr>
      <w:keepNext/>
      <w:keepLines/>
      <w:spacing w:before="220" w:after="40"/>
      <w:outlineLvl w:val="4"/>
    </w:pPr>
    <w:rPr>
      <w:b/>
    </w:rPr>
  </w:style>
  <w:style w:type="paragraph" w:styleId="Ttulo6">
    <w:name w:val="heading 6"/>
    <w:basedOn w:val="Normal"/>
    <w:next w:val="Normal"/>
    <w:uiPriority w:val="9"/>
    <w:semiHidden/>
    <w:unhideWhenUsed/>
    <w:qFormat/>
    <w:rsid w:val="00F9151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F91513"/>
    <w:tblPr>
      <w:tblCellMar>
        <w:top w:w="0" w:type="dxa"/>
        <w:left w:w="0" w:type="dxa"/>
        <w:bottom w:w="0" w:type="dxa"/>
        <w:right w:w="0" w:type="dxa"/>
      </w:tblCellMar>
    </w:tblPr>
  </w:style>
  <w:style w:type="paragraph" w:styleId="Ttulo">
    <w:name w:val="Title"/>
    <w:basedOn w:val="Normal"/>
    <w:next w:val="Normal"/>
    <w:uiPriority w:val="10"/>
    <w:qFormat/>
    <w:rsid w:val="00F91513"/>
    <w:pPr>
      <w:keepNext/>
      <w:keepLines/>
      <w:spacing w:before="480" w:after="120"/>
    </w:pPr>
    <w:rPr>
      <w:b/>
      <w:sz w:val="72"/>
      <w:szCs w:val="72"/>
    </w:rPr>
  </w:style>
  <w:style w:type="paragraph" w:styleId="Subttulo">
    <w:name w:val="Subtitle"/>
    <w:basedOn w:val="Normal"/>
    <w:next w:val="Normal"/>
    <w:uiPriority w:val="11"/>
    <w:qFormat/>
    <w:rsid w:val="00F91513"/>
    <w:pPr>
      <w:keepNext/>
      <w:keepLines/>
      <w:spacing w:before="360" w:after="80"/>
    </w:pPr>
    <w:rPr>
      <w:rFonts w:ascii="Georgia" w:eastAsia="Georgia" w:hAnsi="Georgia" w:cs="Georgia"/>
      <w:i/>
      <w:color w:val="666666"/>
      <w:sz w:val="48"/>
      <w:szCs w:val="48"/>
    </w:rPr>
  </w:style>
  <w:style w:type="paragraph" w:styleId="Textodenotadefim">
    <w:name w:val="endnote text"/>
    <w:basedOn w:val="Normal"/>
    <w:link w:val="TextodenotadefimChar"/>
    <w:uiPriority w:val="99"/>
    <w:semiHidden/>
    <w:unhideWhenUsed/>
    <w:rsid w:val="00C7640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C76402"/>
    <w:rPr>
      <w:sz w:val="20"/>
      <w:szCs w:val="20"/>
    </w:rPr>
  </w:style>
  <w:style w:type="character" w:styleId="Refdenotadefim">
    <w:name w:val="endnote reference"/>
    <w:basedOn w:val="Fontepargpadro"/>
    <w:uiPriority w:val="99"/>
    <w:semiHidden/>
    <w:unhideWhenUsed/>
    <w:rsid w:val="00C76402"/>
    <w:rPr>
      <w:vertAlign w:val="superscript"/>
    </w:rPr>
  </w:style>
  <w:style w:type="character" w:styleId="Hyperlink">
    <w:name w:val="Hyperlink"/>
    <w:basedOn w:val="Fontepargpadro"/>
    <w:uiPriority w:val="99"/>
    <w:unhideWhenUsed/>
    <w:rsid w:val="00C76402"/>
    <w:rPr>
      <w:color w:val="0000FF" w:themeColor="hyperlink"/>
      <w:u w:val="single"/>
    </w:rPr>
  </w:style>
  <w:style w:type="character" w:customStyle="1" w:styleId="UnresolvedMention">
    <w:name w:val="Unresolved Mention"/>
    <w:basedOn w:val="Fontepargpadro"/>
    <w:uiPriority w:val="99"/>
    <w:semiHidden/>
    <w:unhideWhenUsed/>
    <w:rsid w:val="00C76402"/>
    <w:rPr>
      <w:color w:val="605E5C"/>
      <w:shd w:val="clear" w:color="auto" w:fill="E1DFDD"/>
    </w:rPr>
  </w:style>
  <w:style w:type="paragraph" w:styleId="PargrafodaLista">
    <w:name w:val="List Paragraph"/>
    <w:basedOn w:val="Normal"/>
    <w:uiPriority w:val="34"/>
    <w:qFormat/>
    <w:rsid w:val="00F67C7B"/>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1590/0103-6564e230101" TargetMode="External"/><Relationship Id="rId13" Type="http://schemas.openxmlformats.org/officeDocument/2006/relationships/hyperlink" Target="https://dx.doi.org/10.1590/0102.3772e35510" TargetMode="External"/><Relationship Id="rId18" Type="http://schemas.openxmlformats.org/officeDocument/2006/relationships/hyperlink" Target="https://doi.org/10.1590/0101-6628.1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i.org/10.17771/PUCRio.OSQ.69928" TargetMode="External"/><Relationship Id="rId17" Type="http://schemas.openxmlformats.org/officeDocument/2006/relationships/hyperlink" Target="https://niteroi.rj.gov.br/prefeitura-de-niteroi-amplia-acolhimento-a-pessoas-em-situacao-de-rua/" TargetMode="External"/><Relationship Id="rId2" Type="http://schemas.openxmlformats.org/officeDocument/2006/relationships/numbering" Target="numbering.xml"/><Relationship Id="rId16" Type="http://schemas.openxmlformats.org/officeDocument/2006/relationships/hyperlink" Target="https://oglobo.globo.com/rio/bairros/niteroi/noticia/2024/04/17/saude-mental-profissionais-denunciam-precariedade-em-ambulatorio-de-niteroi.g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ge.gov.br/cidades-e-estados/rj/niteroi.html" TargetMode="External"/><Relationship Id="rId5" Type="http://schemas.openxmlformats.org/officeDocument/2006/relationships/webSettings" Target="webSettings.xml"/><Relationship Id="rId15" Type="http://schemas.openxmlformats.org/officeDocument/2006/relationships/hyperlink" Target="https://oglobo.globo.com/rio/bairros/niteroi/noticia/2024/04/17/saude-mental-profissionais-denunciam-precariedade-em-ambulatorio-de-niteroi.ghtml" TargetMode="External"/><Relationship Id="rId10" Type="http://schemas.openxmlformats.org/officeDocument/2006/relationships/hyperlink" Target="https://doi.org/10.1590/1806-93472022v42n89-06" TargetMode="External"/><Relationship Id="rId19" Type="http://schemas.openxmlformats.org/officeDocument/2006/relationships/hyperlink" Target="https://doi.org/10.1590/0102-311XPT108623" TargetMode="External"/><Relationship Id="rId4" Type="http://schemas.openxmlformats.org/officeDocument/2006/relationships/settings" Target="settings.xml"/><Relationship Id="rId9" Type="http://schemas.openxmlformats.org/officeDocument/2006/relationships/hyperlink" Target="https://doi.org/10.1590/1413-81232022271.19642021" TargetMode="External"/><Relationship Id="rId14" Type="http://schemas.openxmlformats.org/officeDocument/2006/relationships/hyperlink" Target="https://doi.org/10.23906/ri2022.73a03"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mailto:juansiqueira5678@gmail.com" TargetMode="External"/><Relationship Id="rId2" Type="http://schemas.openxmlformats.org/officeDocument/2006/relationships/hyperlink" Target="http://lattes.cnpq.br/1988717802364396" TargetMode="External"/><Relationship Id="rId1" Type="http://schemas.openxmlformats.org/officeDocument/2006/relationships/hyperlink" Target="mailto:adriana.ramos.4791@gmail.com" TargetMode="External"/><Relationship Id="rId4" Type="http://schemas.openxmlformats.org/officeDocument/2006/relationships/hyperlink" Target="http://lattes.cnpq.br/16208873873863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BC0E9-9F99-41AD-9626-E4F831C5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4027</Words>
  <Characters>21749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ESS</cp:lastModifiedBy>
  <cp:revision>14</cp:revision>
  <cp:lastPrinted>2025-06-05T11:38:00Z</cp:lastPrinted>
  <dcterms:created xsi:type="dcterms:W3CDTF">2025-06-05T11:07:00Z</dcterms:created>
  <dcterms:modified xsi:type="dcterms:W3CDTF">2025-06-05T18:56:00Z</dcterms:modified>
</cp:coreProperties>
</file>